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241" w:rsidRDefault="00D63241" w:rsidP="00D63241">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D63241" w:rsidTr="00D63241">
        <w:trPr>
          <w:trHeight w:val="670"/>
          <w:jc w:val="center"/>
        </w:trPr>
        <w:sdt>
          <w:sdtPr>
            <w:rPr>
              <w:rtl/>
            </w:rPr>
            <w:alias w:val="1174"/>
            <w:tag w:val="1174"/>
            <w:id w:val="-1775709220"/>
            <w:text/>
          </w:sdtPr>
          <w:sdtEndPr/>
          <w:sdtContent>
            <w:tc>
              <w:tcPr>
                <w:tcW w:w="8721" w:type="dxa"/>
                <w:gridSpan w:val="2"/>
                <w:hideMark/>
              </w:tcPr>
              <w:p w:rsidR="00D63241" w:rsidRDefault="00D63241">
                <w:pPr>
                  <w:pStyle w:val="a3"/>
                  <w:jc w:val="center"/>
                  <w:rPr>
                    <w:rtl/>
                  </w:rPr>
                </w:pPr>
                <w:r>
                  <w:rPr>
                    <w:rFonts w:ascii="Tahoma" w:hAnsi="Tahoma" w:cs="Tahoma"/>
                    <w:b/>
                    <w:bCs/>
                    <w:noProof w:val="0"/>
                    <w:color w:val="000080"/>
                    <w:rtl/>
                  </w:rPr>
                  <w:t>בית משפט לענייני משפחה בקריית גת</w:t>
                </w:r>
              </w:p>
            </w:tc>
          </w:sdtContent>
        </w:sdt>
      </w:tr>
      <w:tr w:rsidR="00D63241" w:rsidTr="00D63241">
        <w:trPr>
          <w:trHeight w:val="337"/>
          <w:jc w:val="center"/>
        </w:trPr>
        <w:tc>
          <w:tcPr>
            <w:tcW w:w="5047" w:type="dxa"/>
          </w:tcPr>
          <w:p w:rsidR="00D63241" w:rsidRDefault="00D63241">
            <w:pPr>
              <w:rPr>
                <w:b/>
                <w:bCs/>
                <w:noProof w:val="0"/>
                <w:sz w:val="26"/>
                <w:szCs w:val="26"/>
                <w:rtl/>
              </w:rPr>
            </w:pPr>
          </w:p>
        </w:tc>
        <w:tc>
          <w:tcPr>
            <w:tcW w:w="3674" w:type="dxa"/>
          </w:tcPr>
          <w:p w:rsidR="00D63241" w:rsidRDefault="00D63241">
            <w:pPr>
              <w:pStyle w:val="a3"/>
              <w:jc w:val="right"/>
              <w:rPr>
                <w:b/>
                <w:bCs/>
                <w:noProof w:val="0"/>
                <w:sz w:val="26"/>
                <w:szCs w:val="26"/>
                <w:rtl/>
              </w:rPr>
            </w:pPr>
          </w:p>
        </w:tc>
      </w:tr>
      <w:tr w:rsidR="00D63241" w:rsidTr="00D63241">
        <w:trPr>
          <w:trHeight w:val="337"/>
          <w:jc w:val="center"/>
        </w:trPr>
        <w:tc>
          <w:tcPr>
            <w:tcW w:w="8721" w:type="dxa"/>
            <w:gridSpan w:val="2"/>
          </w:tcPr>
          <w:p w:rsidR="00D63241" w:rsidRDefault="00D63241" w:rsidP="00D63241">
            <w:pPr>
              <w:rPr>
                <w:b/>
                <w:bCs/>
                <w:noProof w:val="0"/>
                <w:sz w:val="26"/>
                <w:szCs w:val="26"/>
                <w:rtl/>
              </w:rPr>
            </w:pPr>
            <w:proofErr w:type="spellStart"/>
            <w:r>
              <w:rPr>
                <w:b/>
                <w:bCs/>
                <w:noProof w:val="0"/>
                <w:sz w:val="26"/>
                <w:szCs w:val="26"/>
                <w:rtl/>
              </w:rPr>
              <w:t>תמ"ש</w:t>
            </w:r>
            <w:proofErr w:type="spellEnd"/>
            <w:r>
              <w:rPr>
                <w:b/>
                <w:bCs/>
                <w:noProof w:val="0"/>
                <w:sz w:val="26"/>
                <w:szCs w:val="26"/>
                <w:rtl/>
              </w:rPr>
              <w:t xml:space="preserve"> 35850-10-21 ה</w:t>
            </w:r>
            <w:r>
              <w:rPr>
                <w:rFonts w:hint="cs"/>
                <w:b/>
                <w:bCs/>
                <w:noProof w:val="0"/>
                <w:sz w:val="26"/>
                <w:szCs w:val="26"/>
                <w:rtl/>
              </w:rPr>
              <w:t>.</w:t>
            </w:r>
            <w:r>
              <w:rPr>
                <w:b/>
                <w:bCs/>
                <w:noProof w:val="0"/>
                <w:sz w:val="26"/>
                <w:szCs w:val="26"/>
                <w:rtl/>
              </w:rPr>
              <w:t>כ</w:t>
            </w:r>
            <w:r>
              <w:rPr>
                <w:rFonts w:hint="cs"/>
                <w:b/>
                <w:bCs/>
                <w:noProof w:val="0"/>
                <w:sz w:val="26"/>
                <w:szCs w:val="26"/>
                <w:rtl/>
              </w:rPr>
              <w:t>.</w:t>
            </w:r>
            <w:r>
              <w:rPr>
                <w:b/>
                <w:bCs/>
                <w:noProof w:val="0"/>
                <w:sz w:val="26"/>
                <w:szCs w:val="26"/>
                <w:rtl/>
              </w:rPr>
              <w:t xml:space="preserve"> נ' כ</w:t>
            </w:r>
            <w:r>
              <w:rPr>
                <w:rFonts w:hint="cs"/>
                <w:b/>
                <w:bCs/>
                <w:noProof w:val="0"/>
                <w:sz w:val="26"/>
                <w:szCs w:val="26"/>
                <w:rtl/>
              </w:rPr>
              <w:t>.</w:t>
            </w:r>
          </w:p>
          <w:p w:rsidR="00D63241" w:rsidRDefault="00D63241">
            <w:pPr>
              <w:rPr>
                <w:b/>
                <w:bCs/>
                <w:noProof w:val="0"/>
                <w:sz w:val="2"/>
                <w:szCs w:val="2"/>
                <w:rtl/>
              </w:rPr>
            </w:pPr>
          </w:p>
          <w:p w:rsidR="00D63241" w:rsidRDefault="00D63241">
            <w:pPr>
              <w:rPr>
                <w:b/>
                <w:bCs/>
                <w:noProof w:val="0"/>
                <w:sz w:val="26"/>
                <w:szCs w:val="26"/>
                <w:rtl/>
              </w:rPr>
            </w:pPr>
            <w:r>
              <w:rPr>
                <w:b/>
                <w:bCs/>
                <w:noProof w:val="0"/>
                <w:sz w:val="26"/>
                <w:szCs w:val="26"/>
                <w:rtl/>
              </w:rPr>
              <w:t xml:space="preserve"> </w:t>
            </w:r>
          </w:p>
          <w:p w:rsidR="00D63241" w:rsidRDefault="00D63241">
            <w:pPr>
              <w:rPr>
                <w:b/>
                <w:bCs/>
                <w:noProof w:val="0"/>
                <w:sz w:val="26"/>
                <w:szCs w:val="26"/>
                <w:rtl/>
              </w:rPr>
            </w:pPr>
          </w:p>
        </w:tc>
      </w:tr>
    </w:tbl>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63241" w:rsidTr="00D63241">
        <w:trPr>
          <w:jc w:val="center"/>
        </w:trPr>
        <w:tc>
          <w:tcPr>
            <w:tcW w:w="743" w:type="dxa"/>
            <w:hideMark/>
          </w:tcPr>
          <w:p w:rsidR="00D63241" w:rsidRDefault="00D63241">
            <w:pPr>
              <w:jc w:val="both"/>
              <w:rPr>
                <w:rFonts w:ascii="Arial (W1)" w:hAnsi="Arial (W1)"/>
                <w:b/>
                <w:bCs/>
                <w:sz w:val="26"/>
                <w:szCs w:val="26"/>
              </w:rPr>
            </w:pPr>
            <w:r>
              <w:rPr>
                <w:b/>
                <w:bCs/>
                <w:sz w:val="26"/>
                <w:szCs w:val="26"/>
                <w:rtl/>
              </w:rPr>
              <w:t xml:space="preserve">בפני </w:t>
            </w:r>
          </w:p>
        </w:tc>
        <w:tc>
          <w:tcPr>
            <w:tcW w:w="8077" w:type="dxa"/>
            <w:gridSpan w:val="2"/>
            <w:hideMark/>
          </w:tcPr>
          <w:p w:rsidR="00D63241" w:rsidRDefault="00D63241">
            <w:pPr>
              <w:jc w:val="left"/>
              <w:rPr>
                <w:sz w:val="26"/>
                <w:szCs w:val="26"/>
              </w:rPr>
            </w:pPr>
            <w:r>
              <w:rPr>
                <w:rFonts w:ascii="Arial" w:hAnsi="Arial"/>
                <w:b/>
                <w:bCs/>
                <w:sz w:val="26"/>
                <w:szCs w:val="26"/>
                <w:rtl/>
              </w:rPr>
              <w:t>כב' השופט הבכיר, מרדכי (מוטי) לוי</w:t>
            </w:r>
          </w:p>
        </w:tc>
      </w:tr>
      <w:tr w:rsidR="00D63241" w:rsidTr="00D63241">
        <w:trPr>
          <w:jc w:val="center"/>
        </w:trPr>
        <w:tc>
          <w:tcPr>
            <w:tcW w:w="3249" w:type="dxa"/>
            <w:gridSpan w:val="2"/>
          </w:tcPr>
          <w:p w:rsidR="00D63241" w:rsidRDefault="00D63241">
            <w:pPr>
              <w:bidi w:val="0"/>
              <w:rPr>
                <w:rFonts w:ascii="Arial (W1)" w:hAnsi="Arial (W1)"/>
                <w:b/>
                <w:bCs/>
                <w:noProof w:val="0"/>
                <w:sz w:val="26"/>
                <w:szCs w:val="26"/>
              </w:rPr>
            </w:pPr>
          </w:p>
          <w:p w:rsidR="00D63241" w:rsidRDefault="00D63241">
            <w:pPr>
              <w:jc w:val="left"/>
              <w:rPr>
                <w:rFonts w:ascii="Arial (W1)" w:hAnsi="Arial (W1)"/>
                <w:b/>
                <w:bCs/>
                <w:noProof w:val="0"/>
                <w:sz w:val="26"/>
                <w:szCs w:val="26"/>
                <w:rtl/>
              </w:rPr>
            </w:pPr>
            <w:r>
              <w:rPr>
                <w:b/>
                <w:bCs/>
                <w:noProof w:val="0"/>
                <w:sz w:val="26"/>
                <w:szCs w:val="26"/>
                <w:rtl/>
              </w:rPr>
              <w:t>תובעת</w:t>
            </w:r>
          </w:p>
        </w:tc>
        <w:tc>
          <w:tcPr>
            <w:tcW w:w="5571" w:type="dxa"/>
          </w:tcPr>
          <w:p w:rsidR="00D63241" w:rsidRDefault="00D63241">
            <w:pPr>
              <w:rPr>
                <w:rFonts w:ascii="Arial (W1)" w:hAnsi="Arial (W1)"/>
                <w:b/>
                <w:bCs/>
                <w:noProof w:val="0"/>
                <w:sz w:val="26"/>
                <w:szCs w:val="26"/>
              </w:rPr>
            </w:pPr>
          </w:p>
          <w:p w:rsidR="00D63241" w:rsidRDefault="00D63241" w:rsidP="00D63241">
            <w:pPr>
              <w:jc w:val="left"/>
              <w:rPr>
                <w:rFonts w:ascii="Arial (W1)" w:hAnsi="Arial (W1)"/>
                <w:b/>
                <w:bCs/>
                <w:noProof w:val="0"/>
                <w:sz w:val="26"/>
                <w:szCs w:val="26"/>
                <w:rtl/>
              </w:rPr>
            </w:pPr>
            <w:proofErr w:type="spellStart"/>
            <w:r>
              <w:rPr>
                <w:b/>
                <w:bCs/>
                <w:noProof w:val="0"/>
                <w:sz w:val="26"/>
                <w:szCs w:val="26"/>
                <w:rtl/>
              </w:rPr>
              <w:t>ע</w:t>
            </w:r>
            <w:r>
              <w:rPr>
                <w:rFonts w:hint="cs"/>
                <w:b/>
                <w:bCs/>
                <w:noProof w:val="0"/>
                <w:sz w:val="26"/>
                <w:szCs w:val="26"/>
                <w:rtl/>
              </w:rPr>
              <w:t>.</w:t>
            </w:r>
            <w:r>
              <w:rPr>
                <w:b/>
                <w:bCs/>
                <w:noProof w:val="0"/>
                <w:sz w:val="26"/>
                <w:szCs w:val="26"/>
                <w:rtl/>
              </w:rPr>
              <w:t>ה</w:t>
            </w:r>
            <w:r>
              <w:rPr>
                <w:rFonts w:hint="cs"/>
                <w:b/>
                <w:bCs/>
                <w:noProof w:val="0"/>
                <w:sz w:val="26"/>
                <w:szCs w:val="26"/>
                <w:rtl/>
              </w:rPr>
              <w:t>.</w:t>
            </w:r>
            <w:r>
              <w:rPr>
                <w:b/>
                <w:bCs/>
                <w:noProof w:val="0"/>
                <w:sz w:val="26"/>
                <w:szCs w:val="26"/>
                <w:rtl/>
              </w:rPr>
              <w:t>כ</w:t>
            </w:r>
            <w:proofErr w:type="spellEnd"/>
            <w:r>
              <w:rPr>
                <w:rFonts w:hint="cs"/>
                <w:b/>
                <w:bCs/>
                <w:noProof w:val="0"/>
                <w:sz w:val="26"/>
                <w:szCs w:val="26"/>
                <w:rtl/>
              </w:rPr>
              <w:t>.</w:t>
            </w:r>
          </w:p>
          <w:p w:rsidR="00D63241" w:rsidRDefault="00D63241">
            <w:pPr>
              <w:jc w:val="left"/>
              <w:rPr>
                <w:rFonts w:ascii="Arial (W1)" w:hAnsi="Arial (W1)"/>
                <w:noProof w:val="0"/>
                <w:rtl/>
              </w:rPr>
            </w:pPr>
            <w:r>
              <w:rPr>
                <w:rFonts w:ascii="Arial (W1)" w:hAnsi="Arial (W1)"/>
                <w:noProof w:val="0"/>
                <w:rtl/>
              </w:rPr>
              <w:t>מיוצגת ע"י עו"ד יוסף גביזון</w:t>
            </w:r>
          </w:p>
        </w:tc>
      </w:tr>
      <w:tr w:rsidR="00D63241" w:rsidTr="00D63241">
        <w:trPr>
          <w:jc w:val="center"/>
        </w:trPr>
        <w:tc>
          <w:tcPr>
            <w:tcW w:w="8820" w:type="dxa"/>
            <w:gridSpan w:val="3"/>
          </w:tcPr>
          <w:p w:rsidR="00D63241" w:rsidRDefault="00D63241">
            <w:pPr>
              <w:rPr>
                <w:rFonts w:ascii="Arial (W1)" w:hAnsi="Arial (W1)"/>
                <w:b/>
                <w:bCs/>
                <w:noProof w:val="0"/>
                <w:sz w:val="26"/>
                <w:szCs w:val="26"/>
              </w:rPr>
            </w:pPr>
          </w:p>
          <w:p w:rsidR="00D63241" w:rsidRDefault="00D63241">
            <w:pPr>
              <w:jc w:val="center"/>
              <w:rPr>
                <w:rFonts w:ascii="Arial (W1)" w:hAnsi="Arial (W1)"/>
                <w:b/>
                <w:bCs/>
                <w:noProof w:val="0"/>
                <w:sz w:val="26"/>
                <w:szCs w:val="26"/>
                <w:rtl/>
              </w:rPr>
            </w:pPr>
            <w:r>
              <w:rPr>
                <w:b/>
                <w:bCs/>
                <w:noProof w:val="0"/>
                <w:sz w:val="26"/>
                <w:szCs w:val="26"/>
                <w:rtl/>
              </w:rPr>
              <w:t>נגד</w:t>
            </w:r>
          </w:p>
        </w:tc>
      </w:tr>
      <w:tr w:rsidR="00D63241" w:rsidTr="00D63241">
        <w:trPr>
          <w:jc w:val="center"/>
        </w:trPr>
        <w:tc>
          <w:tcPr>
            <w:tcW w:w="3249" w:type="dxa"/>
            <w:gridSpan w:val="2"/>
          </w:tcPr>
          <w:p w:rsidR="00D63241" w:rsidRDefault="00D63241">
            <w:pPr>
              <w:rPr>
                <w:rFonts w:ascii="Arial (W1)" w:hAnsi="Arial (W1)"/>
                <w:b/>
                <w:bCs/>
                <w:noProof w:val="0"/>
                <w:sz w:val="26"/>
                <w:szCs w:val="26"/>
              </w:rPr>
            </w:pPr>
          </w:p>
          <w:p w:rsidR="00D63241" w:rsidRDefault="00D63241">
            <w:pPr>
              <w:jc w:val="left"/>
              <w:rPr>
                <w:rFonts w:ascii="Arial (W1)" w:hAnsi="Arial (W1)"/>
                <w:b/>
                <w:bCs/>
                <w:noProof w:val="0"/>
                <w:sz w:val="26"/>
                <w:szCs w:val="26"/>
                <w:rtl/>
              </w:rPr>
            </w:pPr>
            <w:r>
              <w:rPr>
                <w:b/>
                <w:bCs/>
                <w:noProof w:val="0"/>
                <w:sz w:val="26"/>
                <w:szCs w:val="26"/>
                <w:rtl/>
              </w:rPr>
              <w:t>נתבע</w:t>
            </w:r>
          </w:p>
        </w:tc>
        <w:tc>
          <w:tcPr>
            <w:tcW w:w="5571" w:type="dxa"/>
          </w:tcPr>
          <w:p w:rsidR="00D63241" w:rsidRDefault="00D63241">
            <w:pPr>
              <w:rPr>
                <w:rFonts w:ascii="Arial (W1)" w:hAnsi="Arial (W1)"/>
                <w:b/>
                <w:bCs/>
                <w:noProof w:val="0"/>
                <w:sz w:val="26"/>
                <w:szCs w:val="26"/>
              </w:rPr>
            </w:pPr>
          </w:p>
          <w:p w:rsidR="00D63241" w:rsidRDefault="00D63241" w:rsidP="00D63241">
            <w:pPr>
              <w:jc w:val="left"/>
              <w:rPr>
                <w:rFonts w:ascii="Arial (W1)" w:hAnsi="Arial (W1)"/>
                <w:b/>
                <w:bCs/>
                <w:noProof w:val="0"/>
                <w:sz w:val="26"/>
                <w:szCs w:val="26"/>
                <w:rtl/>
              </w:rPr>
            </w:pPr>
            <w:r>
              <w:rPr>
                <w:b/>
                <w:bCs/>
                <w:noProof w:val="0"/>
                <w:sz w:val="26"/>
                <w:szCs w:val="26"/>
                <w:rtl/>
              </w:rPr>
              <w:t>מ</w:t>
            </w:r>
            <w:r>
              <w:rPr>
                <w:rFonts w:hint="cs"/>
                <w:b/>
                <w:bCs/>
                <w:noProof w:val="0"/>
                <w:sz w:val="26"/>
                <w:szCs w:val="26"/>
                <w:rtl/>
              </w:rPr>
              <w:t>.</w:t>
            </w:r>
            <w:r>
              <w:rPr>
                <w:b/>
                <w:bCs/>
                <w:noProof w:val="0"/>
                <w:sz w:val="26"/>
                <w:szCs w:val="26"/>
                <w:rtl/>
              </w:rPr>
              <w:t>כ</w:t>
            </w:r>
            <w:r>
              <w:rPr>
                <w:rFonts w:hint="cs"/>
                <w:b/>
                <w:bCs/>
                <w:noProof w:val="0"/>
                <w:sz w:val="26"/>
                <w:szCs w:val="26"/>
                <w:rtl/>
              </w:rPr>
              <w:t>.</w:t>
            </w:r>
          </w:p>
          <w:p w:rsidR="00D63241" w:rsidRDefault="00D63241">
            <w:pPr>
              <w:jc w:val="left"/>
              <w:rPr>
                <w:rFonts w:ascii="Arial (W1)" w:hAnsi="Arial (W1)"/>
                <w:noProof w:val="0"/>
                <w:rtl/>
              </w:rPr>
            </w:pPr>
            <w:r>
              <w:rPr>
                <w:rFonts w:ascii="Arial (W1)" w:hAnsi="Arial (W1)"/>
                <w:noProof w:val="0"/>
                <w:rtl/>
              </w:rPr>
              <w:t>מיוצג ע"י עו"ד ארנון ברק</w:t>
            </w:r>
          </w:p>
        </w:tc>
      </w:tr>
    </w:tbl>
    <w:p w:rsidR="00D63241" w:rsidRDefault="00D63241" w:rsidP="00D63241">
      <w:pPr>
        <w:suppressLineNumbers/>
        <w:rPr>
          <w:rFonts w:ascii="Arial (W1)" w:hAnsi="Arial (W1)"/>
          <w:sz w:val="28"/>
          <w:szCs w:val="28"/>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63241" w:rsidTr="00D63241">
        <w:trPr>
          <w:jc w:val="center"/>
        </w:trPr>
        <w:tc>
          <w:tcPr>
            <w:tcW w:w="8820" w:type="dxa"/>
            <w:hideMark/>
          </w:tcPr>
          <w:p w:rsidR="00D63241" w:rsidRDefault="00D63241">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D63241" w:rsidRDefault="00D63241" w:rsidP="00D63241">
      <w:pPr>
        <w:spacing w:line="360" w:lineRule="auto"/>
        <w:ind w:left="708" w:hanging="708"/>
        <w:jc w:val="both"/>
        <w:rPr>
          <w:rFonts w:ascii="David" w:hAnsi="David"/>
          <w:b/>
          <w:bCs/>
          <w:sz w:val="28"/>
          <w:szCs w:val="28"/>
          <w:u w:val="single"/>
        </w:rPr>
      </w:pPr>
    </w:p>
    <w:p w:rsidR="00D63241" w:rsidRDefault="00D63241" w:rsidP="00D63241">
      <w:pPr>
        <w:spacing w:line="360" w:lineRule="auto"/>
        <w:ind w:left="708" w:hanging="708"/>
        <w:jc w:val="both"/>
        <w:rPr>
          <w:rFonts w:ascii="David" w:hAnsi="David"/>
          <w:b/>
          <w:bCs/>
          <w:sz w:val="28"/>
          <w:szCs w:val="28"/>
          <w:rtl/>
        </w:rPr>
      </w:pPr>
      <w:r>
        <w:rPr>
          <w:rFonts w:ascii="David" w:hAnsi="David"/>
          <w:rtl/>
        </w:rPr>
        <w:t>עניינו של פסק דין זה בתביעה שכותרתה "</w:t>
      </w:r>
      <w:r>
        <w:rPr>
          <w:rFonts w:ascii="David" w:hAnsi="David"/>
          <w:u w:val="single"/>
          <w:rtl/>
        </w:rPr>
        <w:t>תביעה לאיזון משאבים ופירוק שיתוף"</w:t>
      </w:r>
      <w:r>
        <w:rPr>
          <w:rFonts w:ascii="David" w:hAnsi="David"/>
          <w:rtl/>
        </w:rPr>
        <w:t>.</w:t>
      </w:r>
    </w:p>
    <w:p w:rsidR="00D63241" w:rsidRDefault="00D63241" w:rsidP="00D63241">
      <w:pPr>
        <w:pStyle w:val="a5"/>
        <w:spacing w:line="360" w:lineRule="auto"/>
        <w:ind w:left="708"/>
        <w:jc w:val="both"/>
        <w:rPr>
          <w:rFonts w:ascii="David" w:hAnsi="David" w:cs="David"/>
          <w:sz w:val="24"/>
          <w:szCs w:val="24"/>
          <w:rtl/>
        </w:rPr>
      </w:pPr>
    </w:p>
    <w:p w:rsidR="00D63241" w:rsidRDefault="00D63241" w:rsidP="00D63241">
      <w:pPr>
        <w:pStyle w:val="a5"/>
        <w:spacing w:line="360" w:lineRule="auto"/>
        <w:ind w:left="84"/>
        <w:jc w:val="both"/>
        <w:rPr>
          <w:rFonts w:ascii="David" w:hAnsi="David" w:cs="David"/>
          <w:sz w:val="24"/>
          <w:szCs w:val="24"/>
        </w:rPr>
      </w:pPr>
      <w:r>
        <w:rPr>
          <w:rFonts w:ascii="David" w:hAnsi="David" w:cs="David"/>
          <w:sz w:val="24"/>
          <w:szCs w:val="24"/>
          <w:rtl/>
        </w:rPr>
        <w:t>התובעת והנתבע (להלן-</w:t>
      </w:r>
      <w:r>
        <w:rPr>
          <w:rFonts w:ascii="Miriam" w:hAnsi="Miriam" w:cs="Miriam"/>
          <w:b/>
          <w:bCs/>
          <w:sz w:val="24"/>
          <w:szCs w:val="24"/>
          <w:rtl/>
        </w:rPr>
        <w:t>הצדדים</w:t>
      </w:r>
      <w:r>
        <w:rPr>
          <w:rFonts w:ascii="David" w:hAnsi="David" w:cs="David"/>
          <w:sz w:val="24"/>
          <w:szCs w:val="24"/>
          <w:rtl/>
        </w:rPr>
        <w:t>) נישאו כדמו"י ביום .12.3.1994 במהלך נישואיהם נולדו להם 3 ילדים. לעת הזו הם גרושים.</w:t>
      </w:r>
    </w:p>
    <w:p w:rsidR="00D63241" w:rsidRDefault="00D63241" w:rsidP="00D63241">
      <w:pPr>
        <w:spacing w:line="360" w:lineRule="auto"/>
        <w:ind w:left="84"/>
        <w:jc w:val="both"/>
        <w:rPr>
          <w:rFonts w:ascii="David" w:hAnsi="David"/>
          <w:rtl/>
        </w:rPr>
      </w:pPr>
      <w:r>
        <w:rPr>
          <w:rFonts w:ascii="David" w:hAnsi="David"/>
          <w:rtl/>
        </w:rPr>
        <w:t xml:space="preserve">חלוף הזמן מאז הגשת התביעה והחלטות אופרטיביות שניתנו מאז הגשת התביעה שינו מטבע הדברים את המסד העובדתי  הנדרש לצורך פסק דין זה ועל כן יובאו טיעוני הצדדים בקציר האומר ובהינתן השינויים. </w:t>
      </w:r>
    </w:p>
    <w:p w:rsidR="00D63241" w:rsidRDefault="00D63241" w:rsidP="00D63241">
      <w:pPr>
        <w:spacing w:line="360" w:lineRule="auto"/>
        <w:ind w:left="714" w:hanging="630"/>
        <w:jc w:val="both"/>
        <w:rPr>
          <w:rFonts w:ascii="David" w:hAnsi="David"/>
          <w:rtl/>
        </w:rPr>
      </w:pPr>
      <w:r>
        <w:rPr>
          <w:rFonts w:ascii="David" w:hAnsi="David"/>
          <w:rtl/>
        </w:rPr>
        <w:t xml:space="preserve"> </w:t>
      </w:r>
    </w:p>
    <w:p w:rsidR="00D63241" w:rsidRDefault="00D63241" w:rsidP="00D63241">
      <w:pPr>
        <w:spacing w:line="360" w:lineRule="auto"/>
        <w:ind w:left="84"/>
        <w:jc w:val="both"/>
        <w:rPr>
          <w:rFonts w:ascii="David" w:hAnsi="David"/>
          <w:b/>
          <w:bCs/>
          <w:sz w:val="28"/>
          <w:szCs w:val="28"/>
          <w:rtl/>
        </w:rPr>
      </w:pPr>
      <w:r>
        <w:rPr>
          <w:rFonts w:ascii="David" w:hAnsi="David"/>
          <w:b/>
          <w:bCs/>
          <w:sz w:val="28"/>
          <w:szCs w:val="28"/>
          <w:u w:val="single"/>
          <w:rtl/>
        </w:rPr>
        <w:t>עיקר טענות התובעת</w:t>
      </w:r>
      <w:r>
        <w:rPr>
          <w:rFonts w:ascii="David" w:hAnsi="David"/>
          <w:b/>
          <w:bCs/>
          <w:sz w:val="28"/>
          <w:szCs w:val="28"/>
          <w:rtl/>
        </w:rPr>
        <w:t>:</w:t>
      </w:r>
    </w:p>
    <w:p w:rsidR="00D63241" w:rsidRDefault="00D63241" w:rsidP="00D63241">
      <w:pPr>
        <w:spacing w:line="360" w:lineRule="auto"/>
        <w:ind w:left="84"/>
        <w:jc w:val="both"/>
        <w:rPr>
          <w:rFonts w:ascii="David" w:hAnsi="David"/>
          <w:b/>
          <w:bCs/>
          <w:sz w:val="28"/>
          <w:szCs w:val="28"/>
          <w:rtl/>
        </w:rPr>
      </w:pPr>
    </w:p>
    <w:p w:rsidR="00D63241" w:rsidRDefault="00D63241" w:rsidP="00D63241">
      <w:pPr>
        <w:spacing w:line="360" w:lineRule="auto"/>
        <w:ind w:left="84"/>
        <w:jc w:val="both"/>
        <w:rPr>
          <w:rFonts w:ascii="David" w:hAnsi="David"/>
        </w:rPr>
      </w:pPr>
      <w:r>
        <w:rPr>
          <w:rFonts w:ascii="David" w:hAnsi="David"/>
          <w:rtl/>
        </w:rPr>
        <w:t>1.</w:t>
      </w:r>
      <w:r>
        <w:rPr>
          <w:rFonts w:ascii="David" w:hAnsi="David"/>
          <w:rtl/>
        </w:rPr>
        <w:tab/>
        <w:t xml:space="preserve">א.  </w:t>
      </w:r>
      <w:r>
        <w:rPr>
          <w:rFonts w:ascii="David" w:hAnsi="David"/>
          <w:rtl/>
        </w:rPr>
        <w:tab/>
        <w:t>התובעת טענה כי בשנות הנישואים הראשונות גילתה שהנתבע מכור להימורים.</w:t>
      </w:r>
    </w:p>
    <w:p w:rsidR="00D63241" w:rsidRDefault="00D63241" w:rsidP="00D63241">
      <w:pPr>
        <w:pStyle w:val="a5"/>
        <w:spacing w:line="360" w:lineRule="auto"/>
        <w:ind w:left="1440"/>
        <w:jc w:val="both"/>
        <w:rPr>
          <w:rFonts w:ascii="David" w:hAnsi="David" w:cs="David"/>
          <w:sz w:val="24"/>
          <w:szCs w:val="24"/>
          <w:rtl/>
        </w:rPr>
      </w:pPr>
      <w:r>
        <w:rPr>
          <w:rFonts w:ascii="David" w:hAnsi="David" w:cs="David"/>
          <w:sz w:val="24"/>
          <w:szCs w:val="24"/>
          <w:rtl/>
        </w:rPr>
        <w:t>בשל כספים רבים שהיה הנתבע מבזבז דאג זה למידורה מכל הקשור למצבם הכלכלי.</w:t>
      </w:r>
    </w:p>
    <w:p w:rsidR="00D63241" w:rsidRDefault="00D63241" w:rsidP="00D63241">
      <w:pPr>
        <w:pStyle w:val="a5"/>
        <w:spacing w:line="360" w:lineRule="auto"/>
        <w:ind w:left="1440"/>
        <w:jc w:val="both"/>
        <w:rPr>
          <w:rFonts w:ascii="David" w:hAnsi="David" w:cs="David"/>
          <w:sz w:val="24"/>
          <w:szCs w:val="24"/>
        </w:rPr>
      </w:pPr>
    </w:p>
    <w:p w:rsidR="00D63241" w:rsidRDefault="00D63241" w:rsidP="00D63241">
      <w:pPr>
        <w:pStyle w:val="a5"/>
        <w:spacing w:line="360" w:lineRule="auto"/>
        <w:ind w:left="1440"/>
        <w:jc w:val="both"/>
        <w:rPr>
          <w:rFonts w:ascii="David" w:hAnsi="David" w:cs="David"/>
          <w:sz w:val="24"/>
          <w:szCs w:val="24"/>
          <w:rtl/>
        </w:rPr>
      </w:pPr>
      <w:r>
        <w:rPr>
          <w:rFonts w:ascii="David" w:hAnsi="David" w:cs="David"/>
          <w:sz w:val="24"/>
          <w:szCs w:val="24"/>
          <w:rtl/>
        </w:rPr>
        <w:t xml:space="preserve">בשנים האחרונות, החלה לעקוב אחרי פעילות החשבון המשותף שלהם, ששימש לכלכלת הבית ואליו הפקידו את כלל הכנסותיהם, ונדהמה לגלות את סכומי העתק שהוציא הנתבע מחשבונם המשותף ללא ידיעתה. הוצאות אלו הביאו את החשבון המשותף ליתרת חובה שהצריכה אותם לקחת הלוואות רבות. </w:t>
      </w:r>
    </w:p>
    <w:p w:rsidR="00D63241" w:rsidRDefault="00D63241" w:rsidP="00D63241">
      <w:pPr>
        <w:spacing w:line="360" w:lineRule="auto"/>
        <w:ind w:left="1440" w:hanging="720"/>
        <w:jc w:val="both"/>
        <w:rPr>
          <w:rFonts w:ascii="David" w:hAnsi="David"/>
          <w:rtl/>
        </w:rPr>
      </w:pPr>
      <w:r>
        <w:rPr>
          <w:rFonts w:ascii="David" w:hAnsi="David"/>
          <w:rtl/>
        </w:rPr>
        <w:t xml:space="preserve">ב. </w:t>
      </w:r>
      <w:r>
        <w:rPr>
          <w:rFonts w:ascii="David" w:hAnsi="David"/>
          <w:rtl/>
        </w:rPr>
        <w:tab/>
        <w:t xml:space="preserve">במהלך שנות נישואיהם, חיו הצדדים במושב </w:t>
      </w:r>
      <w:r>
        <w:rPr>
          <w:rFonts w:ascii="David" w:hAnsi="David"/>
        </w:rPr>
        <w:t>XXX</w:t>
      </w:r>
      <w:r>
        <w:rPr>
          <w:rFonts w:ascii="David" w:hAnsi="David"/>
          <w:rtl/>
        </w:rPr>
        <w:t xml:space="preserve"> </w:t>
      </w:r>
      <w:r>
        <w:rPr>
          <w:rFonts w:ascii="David" w:hAnsi="David" w:hint="cs"/>
          <w:rtl/>
        </w:rPr>
        <w:t xml:space="preserve"> משק </w:t>
      </w:r>
      <w:r>
        <w:rPr>
          <w:rFonts w:ascii="David" w:hAnsi="David"/>
        </w:rPr>
        <w:t>XX</w:t>
      </w:r>
      <w:r>
        <w:rPr>
          <w:rFonts w:ascii="David" w:hAnsi="David"/>
          <w:rtl/>
        </w:rPr>
        <w:t xml:space="preserve"> </w:t>
      </w:r>
      <w:r>
        <w:rPr>
          <w:rFonts w:ascii="David" w:hAnsi="David" w:hint="cs"/>
          <w:rtl/>
        </w:rPr>
        <w:t>בשיתוף רכושי מלא (להלן-</w:t>
      </w:r>
      <w:r>
        <w:rPr>
          <w:rFonts w:ascii="Miriam" w:hAnsi="Miriam" w:cs="Miriam"/>
          <w:b/>
          <w:bCs/>
          <w:rtl/>
        </w:rPr>
        <w:t>הבית</w:t>
      </w:r>
      <w:r>
        <w:rPr>
          <w:rFonts w:ascii="David" w:hAnsi="David"/>
          <w:rtl/>
        </w:rPr>
        <w:t xml:space="preserve">) . הבית נרכש באמצעות הון אישי שהיה להם והלוואת משכנתא בסך </w:t>
      </w:r>
      <w:r>
        <w:rPr>
          <w:rFonts w:ascii="David" w:hAnsi="David"/>
          <w:rtl/>
        </w:rPr>
        <w:lastRenderedPageBreak/>
        <w:t>209,000 ₪. (היתרה לסילוק המשכנתא למועד התביעה עמדה על סך של 16,712 ₪).</w:t>
      </w:r>
    </w:p>
    <w:p w:rsidR="00D63241" w:rsidRDefault="00D63241" w:rsidP="00D63241">
      <w:pPr>
        <w:spacing w:line="360" w:lineRule="auto"/>
        <w:jc w:val="both"/>
        <w:rPr>
          <w:rFonts w:ascii="David" w:hAnsi="David"/>
          <w:rtl/>
        </w:rPr>
      </w:pPr>
    </w:p>
    <w:p w:rsidR="00D63241" w:rsidRDefault="00D63241" w:rsidP="00D63241">
      <w:pPr>
        <w:spacing w:line="360" w:lineRule="auto"/>
        <w:ind w:left="1440" w:hanging="726"/>
        <w:jc w:val="both"/>
        <w:rPr>
          <w:rFonts w:ascii="David" w:hAnsi="David"/>
          <w:rtl/>
        </w:rPr>
      </w:pPr>
      <w:r>
        <w:rPr>
          <w:rFonts w:ascii="David" w:hAnsi="David"/>
          <w:rtl/>
        </w:rPr>
        <w:t xml:space="preserve">ג. </w:t>
      </w:r>
      <w:r>
        <w:rPr>
          <w:rFonts w:ascii="David" w:hAnsi="David"/>
          <w:rtl/>
        </w:rPr>
        <w:tab/>
        <w:t>עם הודעתה לנתבע שברצונה להתגרש מעליו הוא  הבריח סכומי כסף רבים מהחשבון המשותף. הוא 'פתח' חשבון בנק חדש על שמו בלבד אליו העביר את משכורתו. למועד כתב התביעה עמדה יתרת החובה בחשבון המשותף על סך של  כ-15,000 ₪.</w:t>
      </w:r>
    </w:p>
    <w:p w:rsidR="00D63241" w:rsidRDefault="00D63241" w:rsidP="00D63241">
      <w:pPr>
        <w:spacing w:line="360" w:lineRule="auto"/>
        <w:jc w:val="both"/>
        <w:rPr>
          <w:rFonts w:ascii="David" w:hAnsi="David"/>
          <w:rtl/>
        </w:rPr>
      </w:pPr>
      <w:r>
        <w:rPr>
          <w:rFonts w:ascii="David" w:hAnsi="David"/>
          <w:rtl/>
        </w:rPr>
        <w:t xml:space="preserve"> </w:t>
      </w:r>
      <w:r>
        <w:rPr>
          <w:rFonts w:ascii="David" w:hAnsi="David"/>
          <w:rtl/>
        </w:rPr>
        <w:tab/>
        <w:t xml:space="preserve"> ד. </w:t>
      </w:r>
      <w:r>
        <w:rPr>
          <w:rFonts w:ascii="David" w:hAnsi="David"/>
          <w:rtl/>
        </w:rPr>
        <w:tab/>
        <w:t>הצדדים הם בעלים משותפים של שני כלי רכב שנרכשו מכסף משותף:</w:t>
      </w:r>
    </w:p>
    <w:p w:rsidR="00D63241" w:rsidRDefault="00D63241" w:rsidP="00D63241">
      <w:pPr>
        <w:spacing w:line="360" w:lineRule="auto"/>
        <w:jc w:val="both"/>
        <w:rPr>
          <w:rFonts w:ascii="David" w:hAnsi="David"/>
          <w:rtl/>
        </w:rPr>
      </w:pPr>
      <w:r>
        <w:rPr>
          <w:rFonts w:ascii="David" w:hAnsi="David"/>
          <w:rtl/>
        </w:rPr>
        <w:t xml:space="preserve"> </w:t>
      </w:r>
    </w:p>
    <w:p w:rsidR="00D63241" w:rsidRDefault="00D63241" w:rsidP="00D63241">
      <w:pPr>
        <w:spacing w:line="360" w:lineRule="auto"/>
        <w:ind w:left="1440"/>
        <w:jc w:val="both"/>
        <w:rPr>
          <w:rFonts w:ascii="David" w:hAnsi="David"/>
          <w:rtl/>
        </w:rPr>
      </w:pPr>
      <w:r>
        <w:rPr>
          <w:rFonts w:ascii="David" w:hAnsi="David"/>
          <w:rtl/>
        </w:rPr>
        <w:t xml:space="preserve">רכב מסוג הונדה הרשום על שם הנתבע (להלן: </w:t>
      </w:r>
      <w:r>
        <w:rPr>
          <w:rFonts w:ascii="Miriam" w:hAnsi="Miriam" w:cs="Miriam"/>
          <w:b/>
          <w:bCs/>
          <w:rtl/>
        </w:rPr>
        <w:t>רכב ההונדה</w:t>
      </w:r>
      <w:r>
        <w:rPr>
          <w:rFonts w:ascii="David" w:hAnsi="David"/>
          <w:rtl/>
        </w:rPr>
        <w:t xml:space="preserve">);  רכב מסוג טויוטה הרשום על שמה  מ.ר. </w:t>
      </w:r>
      <w:r>
        <w:rPr>
          <w:rFonts w:ascii="David" w:hAnsi="David"/>
        </w:rPr>
        <w:t>XXX</w:t>
      </w:r>
      <w:r>
        <w:rPr>
          <w:rFonts w:ascii="David" w:hAnsi="David"/>
          <w:rtl/>
        </w:rPr>
        <w:t xml:space="preserve"> </w:t>
      </w:r>
      <w:r>
        <w:rPr>
          <w:rFonts w:ascii="David" w:hAnsi="David" w:hint="cs"/>
          <w:rtl/>
        </w:rPr>
        <w:t xml:space="preserve">(להלן </w:t>
      </w:r>
      <w:r>
        <w:rPr>
          <w:rFonts w:ascii="Miriam" w:hAnsi="Miriam" w:cs="Miriam"/>
          <w:b/>
          <w:bCs/>
          <w:rtl/>
        </w:rPr>
        <w:t>רכב הטויוטה</w:t>
      </w:r>
      <w:r>
        <w:rPr>
          <w:rFonts w:ascii="David" w:hAnsi="David"/>
          <w:rtl/>
        </w:rPr>
        <w:t>).</w:t>
      </w:r>
    </w:p>
    <w:p w:rsidR="00D63241" w:rsidRDefault="00D63241" w:rsidP="00D63241">
      <w:pPr>
        <w:spacing w:line="360" w:lineRule="auto"/>
        <w:ind w:left="1440"/>
        <w:jc w:val="both"/>
        <w:rPr>
          <w:rFonts w:ascii="David" w:hAnsi="David"/>
          <w:rtl/>
        </w:rPr>
      </w:pPr>
    </w:p>
    <w:p w:rsidR="00D63241" w:rsidRDefault="00D63241" w:rsidP="00D63241">
      <w:pPr>
        <w:spacing w:line="360" w:lineRule="auto"/>
        <w:ind w:left="1440" w:hanging="720"/>
        <w:jc w:val="both"/>
        <w:rPr>
          <w:rFonts w:ascii="David" w:hAnsi="David"/>
          <w:rtl/>
        </w:rPr>
      </w:pPr>
      <w:r>
        <w:rPr>
          <w:rFonts w:ascii="David" w:hAnsi="David"/>
          <w:rtl/>
        </w:rPr>
        <w:t xml:space="preserve">ה. </w:t>
      </w:r>
      <w:r>
        <w:rPr>
          <w:rFonts w:ascii="David" w:hAnsi="David"/>
          <w:rtl/>
        </w:rPr>
        <w:tab/>
        <w:t xml:space="preserve">הנתבע עובד ב- </w:t>
      </w:r>
      <w:r>
        <w:rPr>
          <w:rFonts w:ascii="David" w:hAnsi="David"/>
        </w:rPr>
        <w:t>XXX</w:t>
      </w:r>
      <w:r>
        <w:rPr>
          <w:rFonts w:ascii="David" w:hAnsi="David"/>
          <w:rtl/>
        </w:rPr>
        <w:t xml:space="preserve"> ובמקום עבודתו זה הופרשו לו סכומי כסף לחיסכון פנסיוני, קרנות השתלמות, קופות גמל ותנאים סוציאליים נוספים. אין התייחסות בכתב התביעה למקום עבודתה שלה.</w:t>
      </w:r>
    </w:p>
    <w:p w:rsidR="00D63241" w:rsidRDefault="00D63241" w:rsidP="00D63241">
      <w:pPr>
        <w:spacing w:line="360" w:lineRule="auto"/>
        <w:ind w:firstLine="375"/>
        <w:jc w:val="both"/>
        <w:rPr>
          <w:rFonts w:ascii="David" w:hAnsi="David"/>
          <w:rtl/>
        </w:rPr>
      </w:pPr>
      <w:r>
        <w:rPr>
          <w:rFonts w:ascii="David" w:hAnsi="David"/>
          <w:rtl/>
        </w:rPr>
        <w:t xml:space="preserve"> </w:t>
      </w:r>
    </w:p>
    <w:p w:rsidR="00D63241" w:rsidRDefault="00D63241" w:rsidP="00D63241">
      <w:pPr>
        <w:spacing w:line="360" w:lineRule="auto"/>
        <w:ind w:firstLine="720"/>
        <w:jc w:val="both"/>
        <w:rPr>
          <w:rFonts w:ascii="David" w:hAnsi="David"/>
          <w:rtl/>
        </w:rPr>
      </w:pPr>
      <w:r>
        <w:rPr>
          <w:rFonts w:ascii="David" w:hAnsi="David"/>
          <w:rtl/>
        </w:rPr>
        <w:t xml:space="preserve"> ו. </w:t>
      </w:r>
      <w:r>
        <w:rPr>
          <w:rFonts w:ascii="David" w:hAnsi="David"/>
          <w:rtl/>
        </w:rPr>
        <w:tab/>
        <w:t>התובעת ביקשה שבית המשפט יורה על  הסעדים הבאים:</w:t>
      </w:r>
    </w:p>
    <w:p w:rsidR="00D63241" w:rsidRDefault="00D63241" w:rsidP="00D63241">
      <w:pPr>
        <w:spacing w:line="360" w:lineRule="auto"/>
        <w:ind w:left="1440" w:hanging="789"/>
        <w:jc w:val="both"/>
        <w:rPr>
          <w:rFonts w:ascii="David" w:hAnsi="David"/>
          <w:rtl/>
        </w:rPr>
      </w:pPr>
    </w:p>
    <w:p w:rsidR="00D63241" w:rsidRDefault="00D63241" w:rsidP="00D63241">
      <w:pPr>
        <w:spacing w:line="360" w:lineRule="auto"/>
        <w:ind w:left="2160" w:hanging="720"/>
        <w:jc w:val="both"/>
        <w:rPr>
          <w:rFonts w:ascii="David" w:hAnsi="David"/>
          <w:rtl/>
        </w:rPr>
      </w:pPr>
      <w:r>
        <w:rPr>
          <w:rFonts w:ascii="David" w:hAnsi="David"/>
          <w:rtl/>
        </w:rPr>
        <w:t>(1)</w:t>
      </w:r>
      <w:r>
        <w:rPr>
          <w:rFonts w:ascii="David" w:hAnsi="David"/>
          <w:rtl/>
        </w:rPr>
        <w:tab/>
        <w:t>פירוק שיתוף בבית המשותף, באופן שבו יוצע הבית למכירה לכל המרבה המחיר. ככל שלא יצליחו למנות את ב"כ כונס נכסים למכר הבית.</w:t>
      </w:r>
    </w:p>
    <w:p w:rsidR="00D63241" w:rsidRDefault="00D63241" w:rsidP="00D63241">
      <w:pPr>
        <w:ind w:left="2160" w:hanging="720"/>
        <w:rPr>
          <w:rtl/>
        </w:rPr>
      </w:pPr>
    </w:p>
    <w:p w:rsidR="00D63241" w:rsidRDefault="00D63241" w:rsidP="00D63241">
      <w:pPr>
        <w:spacing w:line="360" w:lineRule="auto"/>
        <w:ind w:left="2160" w:hanging="720"/>
        <w:jc w:val="both"/>
        <w:rPr>
          <w:rFonts w:ascii="David" w:hAnsi="David"/>
          <w:rtl/>
        </w:rPr>
      </w:pPr>
      <w:r>
        <w:rPr>
          <w:rFonts w:ascii="David" w:hAnsi="David"/>
          <w:rtl/>
        </w:rPr>
        <w:t>(2)</w:t>
      </w:r>
      <w:r>
        <w:rPr>
          <w:rFonts w:ascii="David" w:hAnsi="David"/>
          <w:rtl/>
        </w:rPr>
        <w:tab/>
        <w:t>לאור משיכותיו הרבות של הנתבע מהחשבון המשותף, התובעת ביקשה שבית המשפט יעשה שימוש בסמכותו על  פי סעיף 8(2) לחוק יחסי ממון בין בני זוג תשל"ג-1973 ויורה על איזון תמורה הבית באופן שבו תקבל התובעת 70% מהתמורה ואילו הנתבע יקבל 30% מהתמורה.</w:t>
      </w:r>
    </w:p>
    <w:p w:rsidR="00D63241" w:rsidRDefault="00D63241" w:rsidP="00D63241">
      <w:pPr>
        <w:spacing w:line="360" w:lineRule="auto"/>
        <w:ind w:left="2160" w:hanging="720"/>
        <w:jc w:val="both"/>
        <w:rPr>
          <w:rFonts w:ascii="David" w:hAnsi="David"/>
          <w:rtl/>
        </w:rPr>
      </w:pPr>
    </w:p>
    <w:p w:rsidR="00D63241" w:rsidRDefault="00D63241" w:rsidP="00D63241">
      <w:pPr>
        <w:spacing w:line="360" w:lineRule="auto"/>
        <w:ind w:left="2160" w:hanging="720"/>
        <w:jc w:val="both"/>
        <w:rPr>
          <w:rFonts w:ascii="David" w:hAnsi="David"/>
          <w:rtl/>
        </w:rPr>
      </w:pPr>
      <w:r>
        <w:rPr>
          <w:rFonts w:ascii="David" w:hAnsi="David"/>
          <w:rtl/>
        </w:rPr>
        <w:t>(3)</w:t>
      </w:r>
      <w:r>
        <w:rPr>
          <w:rFonts w:ascii="David" w:hAnsi="David"/>
          <w:rtl/>
        </w:rPr>
        <w:tab/>
        <w:t xml:space="preserve">חלוקת המיטלטלין המשותפים לרבות תכולת הבית באופן שווה ביניהם תוך שלה  תהא זכות ראשונים לבחור אילו  מיטלטלין ישארו ברשותה. </w:t>
      </w:r>
    </w:p>
    <w:p w:rsidR="00D63241" w:rsidRDefault="00D63241" w:rsidP="00D63241">
      <w:pPr>
        <w:spacing w:line="360" w:lineRule="auto"/>
        <w:ind w:left="2160" w:hanging="720"/>
        <w:jc w:val="both"/>
        <w:rPr>
          <w:rFonts w:ascii="David" w:hAnsi="David"/>
          <w:rtl/>
        </w:rPr>
      </w:pPr>
    </w:p>
    <w:p w:rsidR="00D63241" w:rsidRDefault="00D63241" w:rsidP="00D63241">
      <w:pPr>
        <w:spacing w:line="360" w:lineRule="auto"/>
        <w:ind w:left="2160" w:hanging="720"/>
        <w:jc w:val="both"/>
        <w:rPr>
          <w:rFonts w:ascii="David" w:hAnsi="David"/>
          <w:rtl/>
        </w:rPr>
      </w:pPr>
      <w:r>
        <w:rPr>
          <w:rFonts w:ascii="David" w:hAnsi="David"/>
          <w:rtl/>
        </w:rPr>
        <w:t xml:space="preserve">(4) </w:t>
      </w:r>
      <w:r>
        <w:rPr>
          <w:rFonts w:ascii="David" w:hAnsi="David"/>
          <w:rtl/>
        </w:rPr>
        <w:tab/>
        <w:t>לחייב את הנתבע להשיב לה את חלקה בכספים המשותפים אותם הוציא הנתבע מהחשבון המשותף שלא כדין.</w:t>
      </w:r>
    </w:p>
    <w:p w:rsidR="00D63241" w:rsidRDefault="00D63241" w:rsidP="00D63241">
      <w:pPr>
        <w:spacing w:line="360" w:lineRule="auto"/>
        <w:ind w:left="2160" w:hanging="720"/>
        <w:jc w:val="both"/>
        <w:rPr>
          <w:rFonts w:ascii="David" w:hAnsi="David"/>
          <w:rtl/>
        </w:rPr>
      </w:pPr>
    </w:p>
    <w:p w:rsidR="00D63241" w:rsidRDefault="00D63241" w:rsidP="00D63241">
      <w:pPr>
        <w:spacing w:line="360" w:lineRule="auto"/>
        <w:ind w:left="2160" w:hanging="720"/>
        <w:jc w:val="both"/>
        <w:rPr>
          <w:rFonts w:ascii="David" w:hAnsi="David"/>
          <w:rtl/>
        </w:rPr>
      </w:pPr>
      <w:r>
        <w:rPr>
          <w:rFonts w:ascii="David" w:hAnsi="David"/>
          <w:rtl/>
        </w:rPr>
        <w:t>(5)</w:t>
      </w:r>
      <w:r>
        <w:rPr>
          <w:rFonts w:ascii="David" w:hAnsi="David"/>
          <w:rtl/>
        </w:rPr>
        <w:tab/>
        <w:t xml:space="preserve">למנות אקטואר לצורך ביצוע חישוב הכספים הפנסיוניים העומדים לזכותם של הצדדים וחלוקתם באופן שווה בהתאם לחוק לחלוקת חיסכון פנסיוני בין בני זוג שנפרדו, תשע"ד-2014.  </w:t>
      </w:r>
    </w:p>
    <w:p w:rsidR="00D63241" w:rsidRDefault="00D63241" w:rsidP="00D63241">
      <w:pPr>
        <w:spacing w:line="360" w:lineRule="auto"/>
        <w:ind w:left="2160" w:hanging="720"/>
        <w:jc w:val="both"/>
        <w:rPr>
          <w:rFonts w:ascii="David" w:hAnsi="David"/>
          <w:rtl/>
        </w:rPr>
      </w:pPr>
    </w:p>
    <w:p w:rsidR="00D63241" w:rsidRDefault="00D63241" w:rsidP="00D63241">
      <w:pPr>
        <w:spacing w:line="360" w:lineRule="auto"/>
        <w:ind w:left="84"/>
        <w:jc w:val="both"/>
        <w:rPr>
          <w:rFonts w:ascii="David" w:hAnsi="David"/>
          <w:b/>
          <w:bCs/>
          <w:sz w:val="28"/>
          <w:szCs w:val="28"/>
        </w:rPr>
      </w:pPr>
      <w:r>
        <w:rPr>
          <w:rFonts w:ascii="David" w:hAnsi="David"/>
          <w:b/>
          <w:bCs/>
          <w:sz w:val="28"/>
          <w:szCs w:val="28"/>
          <w:u w:val="single"/>
          <w:rtl/>
        </w:rPr>
        <w:t>עיקר טענות הנתבע</w:t>
      </w:r>
      <w:r>
        <w:rPr>
          <w:rFonts w:ascii="David" w:hAnsi="David"/>
          <w:b/>
          <w:bCs/>
          <w:sz w:val="28"/>
          <w:szCs w:val="28"/>
          <w:rtl/>
        </w:rPr>
        <w:t>:</w:t>
      </w:r>
    </w:p>
    <w:p w:rsidR="00D63241" w:rsidRDefault="00D63241" w:rsidP="00D63241">
      <w:pPr>
        <w:spacing w:line="360" w:lineRule="auto"/>
        <w:ind w:left="84"/>
        <w:jc w:val="both"/>
        <w:rPr>
          <w:rFonts w:ascii="David" w:hAnsi="David"/>
          <w:b/>
          <w:bCs/>
          <w:sz w:val="28"/>
          <w:szCs w:val="28"/>
          <w:rtl/>
        </w:rPr>
      </w:pPr>
    </w:p>
    <w:p w:rsidR="00D63241" w:rsidRDefault="00D63241" w:rsidP="00D63241">
      <w:pPr>
        <w:spacing w:line="360" w:lineRule="auto"/>
        <w:ind w:left="720" w:hanging="708"/>
        <w:jc w:val="both"/>
        <w:rPr>
          <w:rFonts w:ascii="David" w:hAnsi="David"/>
        </w:rPr>
      </w:pPr>
      <w:r>
        <w:rPr>
          <w:rFonts w:ascii="David" w:hAnsi="David"/>
          <w:rtl/>
        </w:rPr>
        <w:t>2.</w:t>
      </w:r>
      <w:r>
        <w:rPr>
          <w:rFonts w:ascii="David" w:hAnsi="David"/>
          <w:rtl/>
        </w:rPr>
        <w:tab/>
        <w:t>א.</w:t>
      </w:r>
      <w:r>
        <w:rPr>
          <w:rFonts w:ascii="David" w:hAnsi="David"/>
          <w:rtl/>
        </w:rPr>
        <w:tab/>
        <w:t xml:space="preserve">הקרקע עליה נבנה הבית נרכשה מכספו בלבד 3 שנים עובר לנישואי הצדדים. </w:t>
      </w:r>
    </w:p>
    <w:p w:rsidR="00D63241" w:rsidRDefault="00D63241" w:rsidP="00D63241">
      <w:pPr>
        <w:spacing w:line="360" w:lineRule="auto"/>
        <w:ind w:left="720" w:hanging="708"/>
        <w:jc w:val="both"/>
        <w:rPr>
          <w:rFonts w:ascii="David" w:hAnsi="David"/>
          <w:rtl/>
        </w:rPr>
      </w:pPr>
    </w:p>
    <w:p w:rsidR="00D63241" w:rsidRDefault="00D63241" w:rsidP="00D63241">
      <w:pPr>
        <w:spacing w:line="360" w:lineRule="auto"/>
        <w:ind w:left="1440" w:hanging="720"/>
        <w:jc w:val="both"/>
        <w:rPr>
          <w:rFonts w:ascii="David" w:hAnsi="David"/>
          <w:rtl/>
        </w:rPr>
      </w:pPr>
      <w:r>
        <w:rPr>
          <w:rFonts w:ascii="David" w:hAnsi="David"/>
          <w:rtl/>
        </w:rPr>
        <w:t xml:space="preserve">ב. </w:t>
      </w:r>
      <w:r>
        <w:rPr>
          <w:rFonts w:ascii="David" w:hAnsi="David"/>
          <w:rtl/>
        </w:rPr>
        <w:tab/>
        <w:t xml:space="preserve">טענת ההימורים לא הועלתה בפניו בטרם הגשת התביעה, ההימורים מסתכמים במשחקי קלפים משפחתיים, בחג, בבית הורי התובעת. מדובר ברווח או הפסד של מאות שקלים בודדים. </w:t>
      </w:r>
    </w:p>
    <w:p w:rsidR="00D63241" w:rsidRDefault="00D63241" w:rsidP="00D63241">
      <w:pPr>
        <w:spacing w:line="360" w:lineRule="auto"/>
        <w:ind w:left="1440"/>
        <w:jc w:val="both"/>
        <w:rPr>
          <w:rFonts w:ascii="David" w:hAnsi="David"/>
          <w:rtl/>
        </w:rPr>
      </w:pPr>
    </w:p>
    <w:p w:rsidR="00D63241" w:rsidRDefault="00D63241" w:rsidP="00D63241">
      <w:pPr>
        <w:spacing w:line="360" w:lineRule="auto"/>
        <w:ind w:left="1440" w:hanging="732"/>
        <w:jc w:val="both"/>
        <w:rPr>
          <w:rFonts w:ascii="David" w:hAnsi="David"/>
          <w:rtl/>
        </w:rPr>
      </w:pPr>
      <w:r>
        <w:rPr>
          <w:rFonts w:ascii="David" w:hAnsi="David"/>
          <w:rtl/>
        </w:rPr>
        <w:t>ג.</w:t>
      </w:r>
      <w:r>
        <w:rPr>
          <w:rFonts w:ascii="David" w:hAnsi="David"/>
          <w:rtl/>
        </w:rPr>
        <w:tab/>
        <w:t>הוא  לא נהג בתובעת משטר כלכלי נוקשה, התובעת התנהלה בחופשיות בחשבונם המשותף והיא לא הודרה מכל מידע הקשור להפקדות ומשיכות בחשבון המשותף. החשבון היה גם על שמה והיא יכלה לפעול בו בכל עת כפי רצונה. הוא מעולם לא הבריח נכסים.</w:t>
      </w:r>
    </w:p>
    <w:p w:rsidR="00D63241" w:rsidRDefault="00D63241" w:rsidP="00D63241">
      <w:pPr>
        <w:spacing w:line="360" w:lineRule="auto"/>
        <w:ind w:left="1440" w:hanging="732"/>
        <w:jc w:val="both"/>
        <w:rPr>
          <w:rFonts w:ascii="David" w:hAnsi="David"/>
          <w:rtl/>
        </w:rPr>
      </w:pPr>
    </w:p>
    <w:p w:rsidR="00D63241" w:rsidRDefault="00D63241" w:rsidP="00D63241">
      <w:pPr>
        <w:pStyle w:val="a5"/>
        <w:spacing w:line="360" w:lineRule="auto"/>
        <w:ind w:left="1440" w:hanging="720"/>
        <w:jc w:val="both"/>
        <w:rPr>
          <w:rFonts w:ascii="David" w:hAnsi="David" w:cs="David"/>
          <w:sz w:val="24"/>
          <w:szCs w:val="24"/>
          <w:rtl/>
        </w:rPr>
      </w:pPr>
      <w:r>
        <w:rPr>
          <w:rFonts w:ascii="David" w:hAnsi="David" w:cs="David"/>
          <w:sz w:val="24"/>
          <w:szCs w:val="24"/>
          <w:rtl/>
        </w:rPr>
        <w:t>ד.</w:t>
      </w:r>
      <w:r>
        <w:rPr>
          <w:rFonts w:ascii="David" w:hAnsi="David" w:cs="David"/>
          <w:sz w:val="24"/>
          <w:szCs w:val="24"/>
          <w:rtl/>
        </w:rPr>
        <w:tab/>
        <w:t xml:space="preserve">טען שכתב התביעה התעלם והסתיר בכוונה ובחוסר תום לב מידע על נכסים שאין להכליל  אותם בהסדר איזון המשאבים: </w:t>
      </w:r>
    </w:p>
    <w:p w:rsidR="00D63241" w:rsidRDefault="00D63241" w:rsidP="00D63241">
      <w:pPr>
        <w:pStyle w:val="a5"/>
        <w:spacing w:line="360" w:lineRule="auto"/>
        <w:ind w:left="1440" w:hanging="720"/>
        <w:jc w:val="both"/>
        <w:rPr>
          <w:rFonts w:ascii="David" w:hAnsi="David" w:cs="David"/>
          <w:sz w:val="24"/>
          <w:szCs w:val="24"/>
          <w:rtl/>
        </w:rPr>
      </w:pPr>
    </w:p>
    <w:p w:rsidR="00D63241" w:rsidRDefault="00D63241" w:rsidP="00D63241">
      <w:pPr>
        <w:pStyle w:val="a5"/>
        <w:spacing w:line="360" w:lineRule="auto"/>
        <w:ind w:left="2160" w:hanging="720"/>
        <w:jc w:val="both"/>
        <w:rPr>
          <w:rFonts w:ascii="David" w:hAnsi="David" w:cs="David"/>
          <w:sz w:val="24"/>
          <w:szCs w:val="24"/>
          <w:rtl/>
        </w:rPr>
      </w:pPr>
      <w:r>
        <w:rPr>
          <w:rFonts w:ascii="David" w:hAnsi="David" w:cs="David"/>
          <w:sz w:val="24"/>
          <w:szCs w:val="24"/>
          <w:rtl/>
        </w:rPr>
        <w:t xml:space="preserve">(1) </w:t>
      </w:r>
      <w:r>
        <w:rPr>
          <w:rFonts w:ascii="David" w:hAnsi="David" w:cs="David"/>
          <w:sz w:val="24"/>
          <w:szCs w:val="24"/>
          <w:rtl/>
        </w:rPr>
        <w:tab/>
        <w:t>סכום פיצויי פיטורין שלו: הוא שירת שירות חובה וקבע בצה"ל בין השנים 1983-2001 ונישא לתובעת בשנת 1995. מכאן ששני שלישים  מהתקופה ביחס אליה קיבל פיצויי פיטורין אינם מהווים חלק מאיזון המשאבים. בפרישתו קיבל סך של 400,000 ₪  ועל כן הסכום העומד לאיזון הוא שליש : 134,000 ₪ .</w:t>
      </w:r>
    </w:p>
    <w:p w:rsidR="00D63241" w:rsidRDefault="00D63241" w:rsidP="00D63241">
      <w:pPr>
        <w:pStyle w:val="a5"/>
        <w:spacing w:line="360" w:lineRule="auto"/>
        <w:ind w:left="2160" w:hanging="720"/>
        <w:jc w:val="both"/>
        <w:rPr>
          <w:rFonts w:ascii="David" w:hAnsi="David" w:cs="David"/>
          <w:sz w:val="24"/>
          <w:szCs w:val="24"/>
          <w:rtl/>
        </w:rPr>
      </w:pPr>
      <w:r>
        <w:rPr>
          <w:rFonts w:ascii="David" w:hAnsi="David" w:cs="David"/>
          <w:sz w:val="24"/>
          <w:szCs w:val="24"/>
          <w:rtl/>
        </w:rPr>
        <w:t>(2)</w:t>
      </w:r>
      <w:r>
        <w:rPr>
          <w:rFonts w:ascii="David" w:hAnsi="David" w:cs="David"/>
          <w:sz w:val="24"/>
          <w:szCs w:val="24"/>
          <w:rtl/>
        </w:rPr>
        <w:tab/>
        <w:t xml:space="preserve">שווי הקרקע אשר נרכשה על ידו, כאמור, טרם הכרות הצדדים ששוויה לעת הזו 2.6 מיליון ₪.  </w:t>
      </w:r>
    </w:p>
    <w:p w:rsidR="00D63241" w:rsidRDefault="00D63241" w:rsidP="00D63241">
      <w:pPr>
        <w:pStyle w:val="a5"/>
        <w:spacing w:line="360" w:lineRule="auto"/>
        <w:ind w:left="2160" w:hanging="720"/>
        <w:jc w:val="both"/>
        <w:rPr>
          <w:rFonts w:ascii="David" w:hAnsi="David" w:cs="David"/>
          <w:sz w:val="24"/>
          <w:szCs w:val="24"/>
          <w:rtl/>
        </w:rPr>
      </w:pPr>
      <w:r>
        <w:rPr>
          <w:rFonts w:ascii="David" w:hAnsi="David" w:cs="David"/>
          <w:sz w:val="24"/>
          <w:szCs w:val="24"/>
          <w:rtl/>
        </w:rPr>
        <w:t>(3)</w:t>
      </w:r>
      <w:r>
        <w:rPr>
          <w:rFonts w:ascii="David" w:hAnsi="David" w:cs="David"/>
          <w:sz w:val="24"/>
          <w:szCs w:val="24"/>
          <w:rtl/>
        </w:rPr>
        <w:tab/>
        <w:t xml:space="preserve">יתרת משכנתא: בשנת 1996 נטלו יחד הצדדים משכנתא בסך 209,000 ₪ אותה שילמו במהלך השנים. היתרה לסילוק עומדת נכון למועד כתב ההגנה על סך 14,000 ₪ כך שכל אחד מהצדדים אחראי למחצית. </w:t>
      </w:r>
    </w:p>
    <w:p w:rsidR="00D63241" w:rsidRDefault="00D63241" w:rsidP="00D63241">
      <w:pPr>
        <w:pStyle w:val="a5"/>
        <w:spacing w:line="360" w:lineRule="auto"/>
        <w:ind w:left="2160" w:hanging="720"/>
        <w:jc w:val="both"/>
        <w:rPr>
          <w:rFonts w:ascii="David" w:hAnsi="David" w:cs="David"/>
          <w:sz w:val="24"/>
          <w:szCs w:val="24"/>
          <w:rtl/>
        </w:rPr>
      </w:pPr>
      <w:r>
        <w:rPr>
          <w:rFonts w:ascii="David" w:hAnsi="David" w:cs="David"/>
          <w:sz w:val="24"/>
          <w:szCs w:val="24"/>
          <w:rtl/>
        </w:rPr>
        <w:t xml:space="preserve">(4) </w:t>
      </w:r>
      <w:r>
        <w:rPr>
          <w:rFonts w:ascii="David" w:hAnsi="David" w:cs="David"/>
          <w:sz w:val="24"/>
          <w:szCs w:val="24"/>
          <w:rtl/>
        </w:rPr>
        <w:tab/>
        <w:t>סילוק משכנתא משלימה: בשנת 2001 סילק ממקורותיו (מתוך סכום פיצויי הפיטורין שקיבל) משכנתא משלימה שנטלו הצדדים על סך  של  96,000  ₪ .</w:t>
      </w:r>
    </w:p>
    <w:p w:rsidR="00D63241" w:rsidRDefault="00D63241" w:rsidP="00D63241">
      <w:pPr>
        <w:spacing w:line="360" w:lineRule="auto"/>
        <w:ind w:left="2160" w:hanging="720"/>
        <w:jc w:val="both"/>
        <w:rPr>
          <w:rFonts w:ascii="David" w:hAnsi="David"/>
          <w:rtl/>
        </w:rPr>
      </w:pPr>
      <w:r>
        <w:rPr>
          <w:rFonts w:ascii="David" w:hAnsi="David"/>
          <w:rtl/>
        </w:rPr>
        <w:t>(5)</w:t>
      </w:r>
      <w:r>
        <w:rPr>
          <w:rFonts w:ascii="David" w:hAnsi="David"/>
          <w:rtl/>
        </w:rPr>
        <w:tab/>
        <w:t>שווי הבית לעת הגשת כתב ההגנה עמד על כ- 4 מיליון ₪.  מתוך סכום זה יש להפחית את הסכומים שאינם ברי איזון, כאמור, שווי הקרקע (2.6 מיליון ₪), תשלום עבור משכנתא משלימה (96 אלף ₪ ) וחלקו ביתרת המשכנתא (7,000 ₪ ) ועל כן חלקה של התובעת עומד למרב על סך של  675,000 ₪, אותם הוא מוכן לשלם לה ואין צורך למכור את הבית</w:t>
      </w:r>
    </w:p>
    <w:p w:rsidR="00D63241" w:rsidRDefault="00D63241" w:rsidP="00D63241">
      <w:pPr>
        <w:spacing w:line="360" w:lineRule="auto"/>
        <w:jc w:val="both"/>
        <w:rPr>
          <w:rFonts w:ascii="David" w:hAnsi="David"/>
          <w:rtl/>
        </w:rPr>
      </w:pPr>
    </w:p>
    <w:p w:rsidR="00D63241" w:rsidRDefault="00D63241" w:rsidP="00D63241">
      <w:pPr>
        <w:spacing w:line="360" w:lineRule="auto"/>
        <w:ind w:left="1440" w:hanging="720"/>
        <w:jc w:val="both"/>
        <w:rPr>
          <w:rFonts w:ascii="David" w:hAnsi="David"/>
          <w:rtl/>
        </w:rPr>
      </w:pPr>
      <w:r>
        <w:rPr>
          <w:rFonts w:ascii="David" w:hAnsi="David"/>
          <w:rtl/>
        </w:rPr>
        <w:t>ה.</w:t>
      </w:r>
      <w:r>
        <w:rPr>
          <w:rFonts w:ascii="David" w:hAnsi="David"/>
          <w:rtl/>
        </w:rPr>
        <w:tab/>
        <w:t xml:space="preserve">לאור האמור ביקש  שבית המשפט יורה על הסעדים הבאים: </w:t>
      </w:r>
    </w:p>
    <w:p w:rsidR="00D63241" w:rsidRDefault="00D63241" w:rsidP="00D63241">
      <w:pPr>
        <w:spacing w:line="360" w:lineRule="auto"/>
        <w:ind w:left="2160" w:hanging="720"/>
        <w:jc w:val="both"/>
        <w:rPr>
          <w:rFonts w:ascii="David" w:hAnsi="David"/>
          <w:rtl/>
        </w:rPr>
      </w:pPr>
    </w:p>
    <w:p w:rsidR="00D63241" w:rsidRDefault="00D63241" w:rsidP="00D63241">
      <w:pPr>
        <w:spacing w:line="360" w:lineRule="auto"/>
        <w:ind w:left="2160" w:hanging="720"/>
        <w:jc w:val="both"/>
        <w:rPr>
          <w:rFonts w:ascii="David" w:hAnsi="David"/>
          <w:rtl/>
        </w:rPr>
      </w:pPr>
      <w:r>
        <w:rPr>
          <w:rFonts w:ascii="David" w:hAnsi="David"/>
          <w:rtl/>
        </w:rPr>
        <w:t>(1)</w:t>
      </w:r>
      <w:r>
        <w:rPr>
          <w:rFonts w:ascii="David" w:hAnsi="David"/>
          <w:rtl/>
        </w:rPr>
        <w:tab/>
        <w:t>לקבל את טענתו ביחס לשווי הבית ואופן חלוקתו ולהורות כך.</w:t>
      </w:r>
    </w:p>
    <w:p w:rsidR="00D63241" w:rsidRDefault="00D63241" w:rsidP="00D63241">
      <w:pPr>
        <w:spacing w:line="360" w:lineRule="auto"/>
        <w:ind w:left="2160" w:hanging="720"/>
        <w:jc w:val="both"/>
        <w:rPr>
          <w:rFonts w:ascii="David" w:hAnsi="David"/>
          <w:rtl/>
        </w:rPr>
      </w:pPr>
      <w:r>
        <w:rPr>
          <w:rFonts w:ascii="David" w:hAnsi="David"/>
          <w:rtl/>
        </w:rPr>
        <w:t>(2)</w:t>
      </w:r>
      <w:r>
        <w:rPr>
          <w:rFonts w:ascii="David" w:hAnsi="David"/>
          <w:rtl/>
        </w:rPr>
        <w:tab/>
        <w:t>כל צד יוותר עם הזכויות הפנסיוניות שלו. יש לקזז מחלקה של התובעת סכומים שאינם ברי איזון לרבות סך של 16,500 ₪ אותם שילם הנתבע מכספו הפרטי עבור ניתוח שביצעה התובעת בשנת 2001 וסכום נוסף של  40,000 ₪  שקיבל פיצויים עבור נזקי גוף.</w:t>
      </w:r>
    </w:p>
    <w:p w:rsidR="00D63241" w:rsidRDefault="00D63241" w:rsidP="00D63241">
      <w:pPr>
        <w:spacing w:line="360" w:lineRule="auto"/>
        <w:jc w:val="both"/>
        <w:rPr>
          <w:rFonts w:ascii="David" w:hAnsi="David"/>
          <w:rtl/>
        </w:rPr>
      </w:pPr>
    </w:p>
    <w:p w:rsidR="00D63241" w:rsidRDefault="00D63241" w:rsidP="00D63241">
      <w:pPr>
        <w:pStyle w:val="a5"/>
        <w:spacing w:line="360" w:lineRule="auto"/>
        <w:ind w:left="2160" w:hanging="720"/>
        <w:jc w:val="both"/>
        <w:rPr>
          <w:rFonts w:ascii="David" w:hAnsi="David" w:cs="David"/>
          <w:sz w:val="24"/>
          <w:szCs w:val="24"/>
          <w:rtl/>
        </w:rPr>
      </w:pPr>
      <w:r>
        <w:rPr>
          <w:rFonts w:ascii="David" w:hAnsi="David" w:cs="David"/>
          <w:sz w:val="24"/>
          <w:szCs w:val="24"/>
          <w:rtl/>
        </w:rPr>
        <w:t xml:space="preserve">(3) </w:t>
      </w:r>
      <w:r>
        <w:rPr>
          <w:rFonts w:ascii="David" w:hAnsi="David" w:cs="David"/>
          <w:sz w:val="24"/>
          <w:szCs w:val="24"/>
          <w:rtl/>
        </w:rPr>
        <w:tab/>
        <w:t>לדחות את טענת התובעת לעניין משיכת סכומי כסף על ידו ולקבוע שההפך הוא הנכון. את החשבון ניהלה התובעת והייתה לה שליטה מוחלטת בו.. משהתברר לו שהתובעת משכה עשרות אלפי שקלים לאורך השנים ללא ידיעתו, ניתנה הוראה לבנק לפיה החשבון יוגבל לפעילות רק בחתימת שני הצדדים.</w:t>
      </w:r>
    </w:p>
    <w:p w:rsidR="00D63241" w:rsidRDefault="00D63241" w:rsidP="00D63241">
      <w:pPr>
        <w:pStyle w:val="a5"/>
        <w:spacing w:line="360" w:lineRule="auto"/>
        <w:ind w:left="2160" w:hanging="720"/>
        <w:jc w:val="both"/>
        <w:rPr>
          <w:rFonts w:ascii="David" w:hAnsi="David" w:cs="David"/>
          <w:sz w:val="24"/>
          <w:szCs w:val="24"/>
          <w:rtl/>
        </w:rPr>
      </w:pPr>
    </w:p>
    <w:p w:rsidR="00D63241" w:rsidRDefault="00D63241" w:rsidP="00D63241">
      <w:pPr>
        <w:pStyle w:val="a5"/>
        <w:spacing w:line="360" w:lineRule="auto"/>
        <w:ind w:left="2160" w:hanging="720"/>
        <w:jc w:val="both"/>
        <w:rPr>
          <w:rFonts w:ascii="David" w:hAnsi="David" w:cs="David"/>
          <w:sz w:val="24"/>
          <w:szCs w:val="24"/>
          <w:rtl/>
        </w:rPr>
      </w:pPr>
      <w:r>
        <w:rPr>
          <w:rFonts w:ascii="David" w:hAnsi="David" w:cs="David"/>
          <w:sz w:val="24"/>
          <w:szCs w:val="24"/>
          <w:rtl/>
        </w:rPr>
        <w:t xml:space="preserve">(4) </w:t>
      </w:r>
      <w:r>
        <w:rPr>
          <w:rFonts w:ascii="David" w:hAnsi="David" w:cs="David"/>
          <w:sz w:val="24"/>
          <w:szCs w:val="24"/>
          <w:rtl/>
        </w:rPr>
        <w:tab/>
        <w:t xml:space="preserve">את תכולת הבית המשותף יש לחלק בין הצדדים בחלקים שווים  ללא מתן עדיפות למי מהצדדים אלא אם יגיעו להסכמות בעניין. </w:t>
      </w:r>
    </w:p>
    <w:p w:rsidR="00D63241" w:rsidRDefault="00D63241" w:rsidP="00D63241">
      <w:pPr>
        <w:spacing w:line="360" w:lineRule="auto"/>
        <w:jc w:val="both"/>
        <w:rPr>
          <w:rFonts w:ascii="David" w:hAnsi="David"/>
          <w:b/>
          <w:bCs/>
          <w:sz w:val="28"/>
          <w:szCs w:val="28"/>
          <w:rtl/>
        </w:rPr>
      </w:pPr>
      <w:r>
        <w:rPr>
          <w:rFonts w:ascii="David" w:hAnsi="David"/>
          <w:b/>
          <w:bCs/>
          <w:sz w:val="28"/>
          <w:szCs w:val="28"/>
          <w:u w:val="single"/>
          <w:rtl/>
        </w:rPr>
        <w:t>ההליך</w:t>
      </w:r>
      <w:r>
        <w:rPr>
          <w:rFonts w:ascii="David" w:hAnsi="David"/>
          <w:b/>
          <w:bCs/>
          <w:sz w:val="28"/>
          <w:szCs w:val="28"/>
          <w:rtl/>
        </w:rPr>
        <w:t>:</w:t>
      </w:r>
    </w:p>
    <w:p w:rsidR="00D63241" w:rsidRDefault="00D63241" w:rsidP="00D63241">
      <w:pPr>
        <w:spacing w:line="360" w:lineRule="auto"/>
        <w:jc w:val="both"/>
        <w:rPr>
          <w:rFonts w:ascii="David" w:hAnsi="David"/>
          <w:b/>
          <w:bCs/>
          <w:sz w:val="28"/>
          <w:szCs w:val="28"/>
          <w:rtl/>
        </w:rPr>
      </w:pPr>
    </w:p>
    <w:p w:rsidR="00D63241" w:rsidRDefault="00D63241" w:rsidP="00D63241">
      <w:pPr>
        <w:spacing w:line="360" w:lineRule="auto"/>
        <w:ind w:left="720" w:hanging="720"/>
        <w:jc w:val="both"/>
        <w:rPr>
          <w:rFonts w:ascii="David" w:hAnsi="David"/>
        </w:rPr>
      </w:pPr>
      <w:r>
        <w:rPr>
          <w:rFonts w:ascii="David" w:hAnsi="David"/>
          <w:rtl/>
        </w:rPr>
        <w:t>3.</w:t>
      </w:r>
      <w:r>
        <w:rPr>
          <w:rFonts w:ascii="David" w:hAnsi="David"/>
          <w:rtl/>
        </w:rPr>
        <w:tab/>
        <w:t>ביום 28/9/2022 התקיים דיון לפני כבוד השופטת שרה דברת בבית המשפט המחוזי במסגרת תיק קשור (</w:t>
      </w:r>
      <w:r>
        <w:rPr>
          <w:rFonts w:ascii="David" w:hAnsi="David"/>
          <w:u w:val="single"/>
          <w:rtl/>
        </w:rPr>
        <w:t>רע"א 43588-09-22)</w:t>
      </w:r>
      <w:r>
        <w:rPr>
          <w:rFonts w:ascii="David" w:hAnsi="David"/>
          <w:rtl/>
        </w:rPr>
        <w:t xml:space="preserve">. במסגרת הדיון שם הגיעו הצדדים להסדר אשר קיבל תוקף של פסק דין בנוגע לתיק זה:  </w:t>
      </w:r>
    </w:p>
    <w:p w:rsidR="00D63241" w:rsidRDefault="00D63241" w:rsidP="00D63241">
      <w:pPr>
        <w:spacing w:line="360" w:lineRule="auto"/>
        <w:jc w:val="both"/>
        <w:rPr>
          <w:rFonts w:ascii="David" w:hAnsi="David"/>
          <w:rtl/>
        </w:rPr>
      </w:pPr>
    </w:p>
    <w:p w:rsidR="00D63241" w:rsidRDefault="00D63241" w:rsidP="00D63241">
      <w:pPr>
        <w:spacing w:line="360" w:lineRule="auto"/>
        <w:ind w:left="720"/>
        <w:jc w:val="both"/>
        <w:rPr>
          <w:b/>
          <w:bCs/>
          <w:noProof w:val="0"/>
          <w:u w:val="single"/>
          <w:rtl/>
        </w:rPr>
      </w:pPr>
      <w:r>
        <w:rPr>
          <w:b/>
          <w:bCs/>
          <w:rtl/>
        </w:rPr>
        <w:t xml:space="preserve">" </w:t>
      </w:r>
      <w:r>
        <w:rPr>
          <w:b/>
          <w:bCs/>
          <w:u w:val="single"/>
          <w:rtl/>
        </w:rPr>
        <w:t>הצדדים ובאי כוחם:</w:t>
      </w:r>
    </w:p>
    <w:p w:rsidR="00D63241" w:rsidRDefault="00D63241" w:rsidP="00D63241">
      <w:pPr>
        <w:spacing w:line="360" w:lineRule="auto"/>
        <w:ind w:left="720"/>
        <w:jc w:val="both"/>
        <w:rPr>
          <w:b/>
          <w:bCs/>
          <w:rtl/>
        </w:rPr>
      </w:pPr>
      <w:r>
        <w:rPr>
          <w:b/>
          <w:bCs/>
          <w:rtl/>
        </w:rPr>
        <w:t>בשלב זה, לאחר דו-שיח ארוך שנמשך כשלוש שעות בין הצדדים לבין עצמם ובין הצדדים לבית המשפט, הגענו להסדר בתיק תמ"ש  35850-10-21, כדלקמן:</w:t>
      </w:r>
    </w:p>
    <w:p w:rsidR="00D63241" w:rsidRDefault="00D63241" w:rsidP="00D63241">
      <w:pPr>
        <w:spacing w:line="360" w:lineRule="auto"/>
        <w:ind w:left="1440" w:hanging="720"/>
        <w:jc w:val="both"/>
        <w:rPr>
          <w:b/>
          <w:bCs/>
        </w:rPr>
      </w:pPr>
      <w:r>
        <w:rPr>
          <w:b/>
          <w:bCs/>
          <w:rtl/>
        </w:rPr>
        <w:t>א.</w:t>
      </w:r>
      <w:r>
        <w:rPr>
          <w:b/>
          <w:bCs/>
          <w:rtl/>
        </w:rPr>
        <w:tab/>
        <w:t>כל רכוש הצדדים, ללא יוצא מן הכלל, וללא קשר על שם מי הוא רשום, יחולק בין הצדדים בחלקים שווים ביניהם.</w:t>
      </w:r>
    </w:p>
    <w:p w:rsidR="00D63241" w:rsidRDefault="00D63241" w:rsidP="00D63241">
      <w:pPr>
        <w:spacing w:line="360" w:lineRule="auto"/>
        <w:ind w:left="1440" w:hanging="720"/>
        <w:jc w:val="both"/>
        <w:rPr>
          <w:b/>
          <w:bCs/>
          <w:rtl/>
        </w:rPr>
      </w:pPr>
      <w:r>
        <w:rPr>
          <w:b/>
          <w:bCs/>
          <w:rtl/>
        </w:rPr>
        <w:t>ב.</w:t>
      </w:r>
      <w:r>
        <w:rPr>
          <w:b/>
          <w:bCs/>
          <w:rtl/>
        </w:rPr>
        <w:tab/>
        <w:t xml:space="preserve">הבית הנמצא במושב  </w:t>
      </w:r>
      <w:r>
        <w:rPr>
          <w:b/>
          <w:bCs/>
        </w:rPr>
        <w:t>XXX</w:t>
      </w:r>
      <w:r>
        <w:rPr>
          <w:b/>
          <w:bCs/>
          <w:rtl/>
        </w:rPr>
        <w:t xml:space="preserve">, רח' </w:t>
      </w:r>
      <w:r>
        <w:rPr>
          <w:b/>
          <w:bCs/>
        </w:rPr>
        <w:t>XXX</w:t>
      </w:r>
      <w:r>
        <w:rPr>
          <w:b/>
          <w:bCs/>
          <w:rtl/>
        </w:rPr>
        <w:t xml:space="preserve"> </w:t>
      </w:r>
      <w:r>
        <w:rPr>
          <w:b/>
          <w:bCs/>
        </w:rPr>
        <w:t>XX</w:t>
      </w:r>
      <w:r>
        <w:rPr>
          <w:b/>
          <w:bCs/>
          <w:rtl/>
        </w:rPr>
        <w:t xml:space="preserve">, הידוע כגוש: </w:t>
      </w:r>
      <w:r>
        <w:rPr>
          <w:b/>
          <w:bCs/>
        </w:rPr>
        <w:t>XXX</w:t>
      </w:r>
      <w:r>
        <w:rPr>
          <w:b/>
          <w:bCs/>
          <w:rtl/>
        </w:rPr>
        <w:t xml:space="preserve"> חלקה: </w:t>
      </w:r>
      <w:r>
        <w:rPr>
          <w:b/>
          <w:bCs/>
        </w:rPr>
        <w:t>XX</w:t>
      </w:r>
      <w:r>
        <w:rPr>
          <w:b/>
          <w:bCs/>
          <w:rtl/>
        </w:rPr>
        <w:t xml:space="preserve"> - ימכר למרבה במחיר והתמורה לאחר ניכוי ההוצאות הכרוכות במכירת הבית תחולק בין הצדדים בחלקים שווים ביניהם, בכפוף לאמור בסעיף ט' להלן.</w:t>
      </w:r>
      <w:r>
        <w:rPr>
          <w:rtl/>
        </w:rPr>
        <w:t>[...]</w:t>
      </w:r>
    </w:p>
    <w:p w:rsidR="00D63241" w:rsidRDefault="00D63241" w:rsidP="00D63241">
      <w:pPr>
        <w:spacing w:line="360" w:lineRule="auto"/>
        <w:ind w:left="1440" w:hanging="720"/>
        <w:jc w:val="both"/>
        <w:rPr>
          <w:b/>
          <w:bCs/>
          <w:rtl/>
        </w:rPr>
      </w:pPr>
      <w:r>
        <w:rPr>
          <w:b/>
          <w:bCs/>
          <w:rtl/>
        </w:rPr>
        <w:t>ו.</w:t>
      </w:r>
      <w:r>
        <w:rPr>
          <w:b/>
          <w:bCs/>
          <w:rtl/>
        </w:rPr>
        <w:tab/>
        <w:t>ימונה אקטואר על ידי בית המשפט לענייני משפחה בקרית-גת, אשר יעריך את הזכויות הפנסיוניות של הצדדים ולשם כך תוגש בקשה לבית המשפט לענייני משפחה באופן מידי.</w:t>
      </w:r>
      <w:r>
        <w:rPr>
          <w:rtl/>
        </w:rPr>
        <w:t xml:space="preserve"> [...]</w:t>
      </w:r>
    </w:p>
    <w:p w:rsidR="00D63241" w:rsidRDefault="00D63241" w:rsidP="00D63241">
      <w:pPr>
        <w:spacing w:line="360" w:lineRule="auto"/>
        <w:ind w:left="1440" w:hanging="720"/>
        <w:jc w:val="both"/>
        <w:rPr>
          <w:rtl/>
        </w:rPr>
      </w:pPr>
      <w:r>
        <w:rPr>
          <w:b/>
          <w:bCs/>
          <w:rtl/>
        </w:rPr>
        <w:t>ט.</w:t>
      </w:r>
      <w:r>
        <w:rPr>
          <w:b/>
          <w:bCs/>
          <w:rtl/>
        </w:rPr>
        <w:tab/>
        <w:t>לאחר מכירת הבית, ומחלקה של האישה בבית, לאחר קבלת התשלום הראשון, ישולם לבעל מחצית שוויו של הרכב, כפי שיהיה שוויו על-פי המחירון של יצחק לוי.</w:t>
      </w:r>
      <w:r>
        <w:rPr>
          <w:rtl/>
        </w:rPr>
        <w:t xml:space="preserve"> [...] </w:t>
      </w:r>
      <w:r>
        <w:rPr>
          <w:b/>
          <w:bCs/>
          <w:rtl/>
        </w:rPr>
        <w:t xml:space="preserve">"    </w:t>
      </w:r>
      <w:r>
        <w:rPr>
          <w:rtl/>
        </w:rPr>
        <w:t xml:space="preserve">(להלן- </w:t>
      </w:r>
      <w:r>
        <w:rPr>
          <w:rFonts w:ascii="Miriam" w:hAnsi="Miriam" w:cs="Miriam"/>
          <w:b/>
          <w:bCs/>
          <w:rtl/>
        </w:rPr>
        <w:t>פסק הדין</w:t>
      </w:r>
      <w:r>
        <w:rPr>
          <w:rtl/>
        </w:rPr>
        <w:t>).</w:t>
      </w:r>
    </w:p>
    <w:p w:rsidR="00D63241" w:rsidRDefault="00D63241" w:rsidP="00D63241">
      <w:pPr>
        <w:spacing w:line="360" w:lineRule="auto"/>
        <w:ind w:left="1440" w:hanging="720"/>
        <w:jc w:val="both"/>
        <w:rPr>
          <w:rFonts w:ascii="David" w:hAnsi="David"/>
          <w:rtl/>
        </w:rPr>
      </w:pPr>
    </w:p>
    <w:p w:rsidR="00D63241" w:rsidRDefault="00D63241" w:rsidP="00D63241">
      <w:pPr>
        <w:spacing w:line="360" w:lineRule="auto"/>
        <w:ind w:left="720" w:hanging="720"/>
        <w:jc w:val="both"/>
        <w:rPr>
          <w:rFonts w:ascii="David" w:hAnsi="David"/>
          <w:rtl/>
        </w:rPr>
      </w:pPr>
      <w:r>
        <w:rPr>
          <w:rFonts w:ascii="David" w:hAnsi="David"/>
          <w:rtl/>
        </w:rPr>
        <w:t xml:space="preserve">4. </w:t>
      </w:r>
      <w:r>
        <w:rPr>
          <w:rFonts w:ascii="David" w:hAnsi="David"/>
          <w:rtl/>
        </w:rPr>
        <w:tab/>
        <w:t>א.</w:t>
      </w:r>
      <w:r>
        <w:rPr>
          <w:rFonts w:ascii="David" w:hAnsi="David"/>
          <w:rtl/>
        </w:rPr>
        <w:tab/>
        <w:t xml:space="preserve">ביום 26.11.22 מונה על ידי כבוד השופט ממן האקטואר מר טל אבינדב. במהלך </w:t>
      </w:r>
    </w:p>
    <w:p w:rsidR="00D63241" w:rsidRDefault="00D63241" w:rsidP="00D63241">
      <w:pPr>
        <w:spacing w:line="360" w:lineRule="auto"/>
        <w:ind w:left="720" w:firstLine="720"/>
        <w:jc w:val="both"/>
        <w:rPr>
          <w:rFonts w:ascii="David" w:hAnsi="David"/>
          <w:rtl/>
        </w:rPr>
      </w:pPr>
      <w:r>
        <w:rPr>
          <w:rFonts w:ascii="David" w:hAnsi="David"/>
          <w:rtl/>
        </w:rPr>
        <w:t xml:space="preserve">עבודתו על כתיבת חוות הדעת עלה כי לא נקבע מועד הקרע בעניינם של הצדדים. </w:t>
      </w:r>
    </w:p>
    <w:p w:rsidR="00D63241" w:rsidRDefault="00D63241" w:rsidP="00D63241">
      <w:pPr>
        <w:spacing w:line="360" w:lineRule="auto"/>
        <w:ind w:left="1440"/>
        <w:jc w:val="both"/>
        <w:rPr>
          <w:rFonts w:ascii="David" w:hAnsi="David"/>
          <w:rtl/>
        </w:rPr>
      </w:pPr>
      <w:r>
        <w:rPr>
          <w:rFonts w:ascii="David" w:hAnsi="David"/>
          <w:rtl/>
        </w:rPr>
        <w:t xml:space="preserve">הצדדים הסכימו ( הנתבע ביום 12.1.2023 והתובעת ביום 1.1.2023) שמועד הקרע הינו 24.5.21. </w:t>
      </w:r>
    </w:p>
    <w:p w:rsidR="00D63241" w:rsidRDefault="00D63241" w:rsidP="00D63241">
      <w:pPr>
        <w:spacing w:line="360" w:lineRule="auto"/>
        <w:ind w:left="720"/>
        <w:jc w:val="both"/>
        <w:rPr>
          <w:rFonts w:ascii="David" w:hAnsi="David"/>
          <w:rtl/>
        </w:rPr>
      </w:pPr>
    </w:p>
    <w:p w:rsidR="00D63241" w:rsidRDefault="00D63241" w:rsidP="00D63241">
      <w:pPr>
        <w:spacing w:line="360" w:lineRule="auto"/>
        <w:jc w:val="both"/>
        <w:rPr>
          <w:rFonts w:ascii="David" w:hAnsi="David"/>
          <w:rtl/>
        </w:rPr>
      </w:pPr>
      <w:r>
        <w:rPr>
          <w:rFonts w:ascii="David" w:hAnsi="David"/>
          <w:rtl/>
        </w:rPr>
        <w:tab/>
        <w:t>ב.</w:t>
      </w:r>
      <w:r>
        <w:rPr>
          <w:rFonts w:ascii="David" w:hAnsi="David"/>
          <w:rtl/>
        </w:rPr>
        <w:tab/>
        <w:t>ביום 16.2.23 הוגשה חוות דעת האקטואר (להלן-</w:t>
      </w:r>
      <w:r>
        <w:rPr>
          <w:rFonts w:ascii="Miriam" w:hAnsi="Miriam" w:cs="Miriam"/>
          <w:b/>
          <w:bCs/>
          <w:rtl/>
        </w:rPr>
        <w:t>חוות הדעת</w:t>
      </w:r>
      <w:r>
        <w:rPr>
          <w:rFonts w:ascii="David" w:hAnsi="David"/>
          <w:rtl/>
        </w:rPr>
        <w:t>).</w:t>
      </w:r>
    </w:p>
    <w:p w:rsidR="00D63241" w:rsidRDefault="00D63241" w:rsidP="00D63241">
      <w:pPr>
        <w:spacing w:line="360" w:lineRule="auto"/>
        <w:jc w:val="both"/>
        <w:rPr>
          <w:rFonts w:ascii="David" w:hAnsi="David"/>
          <w:rtl/>
        </w:rPr>
      </w:pPr>
      <w:r>
        <w:rPr>
          <w:rFonts w:ascii="David" w:hAnsi="David"/>
          <w:rtl/>
        </w:rPr>
        <w:tab/>
      </w:r>
    </w:p>
    <w:p w:rsidR="00D63241" w:rsidRDefault="00D63241" w:rsidP="00D63241">
      <w:pPr>
        <w:spacing w:line="360" w:lineRule="auto"/>
        <w:ind w:left="1440" w:hanging="720"/>
        <w:jc w:val="both"/>
        <w:rPr>
          <w:rFonts w:ascii="David" w:hAnsi="David"/>
          <w:rtl/>
        </w:rPr>
      </w:pPr>
      <w:r>
        <w:rPr>
          <w:rFonts w:ascii="David" w:hAnsi="David"/>
          <w:rtl/>
        </w:rPr>
        <w:lastRenderedPageBreak/>
        <w:t>ג.</w:t>
      </w:r>
      <w:r>
        <w:rPr>
          <w:rFonts w:ascii="David" w:hAnsi="David"/>
          <w:rtl/>
        </w:rPr>
        <w:tab/>
        <w:t>ביום 1.3.23, ביקשה התובעת לקבוע דיון בעניין חוות דעת האקטואר שכן לה השגות לגביה.</w:t>
      </w:r>
    </w:p>
    <w:p w:rsidR="00D63241" w:rsidRDefault="00D63241" w:rsidP="00D63241">
      <w:pPr>
        <w:spacing w:line="360" w:lineRule="auto"/>
        <w:ind w:left="720"/>
        <w:jc w:val="both"/>
        <w:rPr>
          <w:rFonts w:ascii="David" w:hAnsi="David"/>
          <w:rtl/>
        </w:rPr>
      </w:pPr>
    </w:p>
    <w:p w:rsidR="00D63241" w:rsidRDefault="00D63241" w:rsidP="00D63241">
      <w:pPr>
        <w:spacing w:line="360" w:lineRule="auto"/>
        <w:ind w:left="1440" w:hanging="789"/>
        <w:jc w:val="both"/>
        <w:rPr>
          <w:rFonts w:ascii="David" w:hAnsi="David"/>
          <w:rtl/>
        </w:rPr>
      </w:pPr>
      <w:r>
        <w:rPr>
          <w:rFonts w:ascii="David" w:hAnsi="David"/>
          <w:rtl/>
        </w:rPr>
        <w:t>ד.</w:t>
      </w:r>
      <w:r>
        <w:rPr>
          <w:rFonts w:ascii="David" w:hAnsi="David"/>
          <w:rtl/>
        </w:rPr>
        <w:tab/>
        <w:t>דיון בנושא התקיים ביום 16.3.23 ובו נקבע, בין היתר, כי הצדדים רשאים להגיש שאלות הבהרה לאקטואר.</w:t>
      </w:r>
    </w:p>
    <w:p w:rsidR="00D63241" w:rsidRDefault="00D63241" w:rsidP="00D63241">
      <w:pPr>
        <w:spacing w:line="360" w:lineRule="auto"/>
        <w:ind w:left="720"/>
        <w:jc w:val="both"/>
        <w:rPr>
          <w:rFonts w:ascii="David" w:hAnsi="David"/>
          <w:rtl/>
        </w:rPr>
      </w:pPr>
    </w:p>
    <w:p w:rsidR="00D63241" w:rsidRDefault="00D63241" w:rsidP="00D63241">
      <w:pPr>
        <w:spacing w:line="360" w:lineRule="auto"/>
        <w:ind w:left="1440" w:hanging="789"/>
        <w:jc w:val="both"/>
        <w:rPr>
          <w:rFonts w:ascii="David" w:hAnsi="David"/>
          <w:rtl/>
        </w:rPr>
      </w:pPr>
      <w:r>
        <w:rPr>
          <w:rFonts w:ascii="David" w:hAnsi="David"/>
          <w:rtl/>
        </w:rPr>
        <w:t>ה.</w:t>
      </w:r>
      <w:r>
        <w:rPr>
          <w:rFonts w:ascii="David" w:hAnsi="David"/>
          <w:rtl/>
        </w:rPr>
        <w:tab/>
        <w:t xml:space="preserve">התובעת הגישה שאלות הבהרה ביום 1.5.23. ביום 31.5.23 הגישה התובעת כנספח לסיכומיה את חוות הדעת המעודכנת  של המומחה (להלן- </w:t>
      </w:r>
      <w:r>
        <w:rPr>
          <w:rFonts w:ascii="Miriam" w:hAnsi="Miriam" w:cs="Miriam"/>
          <w:b/>
          <w:bCs/>
          <w:rtl/>
        </w:rPr>
        <w:t>חוות הדעת המעדכנת/המתוקנת</w:t>
      </w:r>
      <w:r>
        <w:rPr>
          <w:rFonts w:ascii="David" w:hAnsi="David"/>
          <w:rtl/>
        </w:rPr>
        <w:t xml:space="preserve">). </w:t>
      </w:r>
    </w:p>
    <w:p w:rsidR="00D63241" w:rsidRDefault="00D63241" w:rsidP="00D63241">
      <w:pPr>
        <w:spacing w:line="360" w:lineRule="auto"/>
        <w:ind w:left="1440" w:hanging="789"/>
        <w:jc w:val="both"/>
        <w:rPr>
          <w:rFonts w:ascii="David" w:hAnsi="David"/>
          <w:rtl/>
        </w:rPr>
      </w:pPr>
    </w:p>
    <w:p w:rsidR="00D63241" w:rsidRDefault="00D63241" w:rsidP="00D63241">
      <w:pPr>
        <w:spacing w:line="360" w:lineRule="auto"/>
        <w:ind w:left="84"/>
        <w:jc w:val="both"/>
        <w:rPr>
          <w:rFonts w:ascii="David" w:hAnsi="David"/>
          <w:b/>
          <w:bCs/>
          <w:sz w:val="28"/>
          <w:szCs w:val="28"/>
          <w:u w:val="single"/>
          <w:rtl/>
        </w:rPr>
      </w:pPr>
      <w:r>
        <w:rPr>
          <w:rFonts w:ascii="David" w:hAnsi="David"/>
          <w:b/>
          <w:bCs/>
          <w:sz w:val="28"/>
          <w:szCs w:val="28"/>
          <w:u w:val="single"/>
          <w:rtl/>
        </w:rPr>
        <w:t>סיכומי הצדדים</w:t>
      </w:r>
      <w:r>
        <w:rPr>
          <w:rFonts w:ascii="David" w:hAnsi="David"/>
          <w:b/>
          <w:bCs/>
          <w:sz w:val="28"/>
          <w:szCs w:val="28"/>
          <w:rtl/>
        </w:rPr>
        <w:t xml:space="preserve">: </w:t>
      </w:r>
    </w:p>
    <w:p w:rsidR="00D63241" w:rsidRDefault="00D63241" w:rsidP="00D63241">
      <w:pPr>
        <w:spacing w:line="360" w:lineRule="auto"/>
        <w:ind w:left="84"/>
        <w:jc w:val="both"/>
        <w:rPr>
          <w:rFonts w:ascii="David" w:hAnsi="David"/>
          <w:b/>
          <w:bCs/>
          <w:sz w:val="28"/>
          <w:szCs w:val="28"/>
          <w:u w:val="single"/>
          <w:rtl/>
        </w:rPr>
      </w:pPr>
    </w:p>
    <w:p w:rsidR="00D63241" w:rsidRDefault="00D63241" w:rsidP="00D63241">
      <w:pPr>
        <w:spacing w:line="360" w:lineRule="auto"/>
        <w:ind w:left="714" w:hanging="630"/>
        <w:jc w:val="both"/>
        <w:rPr>
          <w:rFonts w:ascii="David" w:hAnsi="David"/>
          <w:rtl/>
        </w:rPr>
      </w:pPr>
      <w:r>
        <w:rPr>
          <w:rFonts w:ascii="David" w:hAnsi="David"/>
          <w:rtl/>
        </w:rPr>
        <w:t xml:space="preserve">5. </w:t>
      </w:r>
      <w:r>
        <w:rPr>
          <w:rFonts w:ascii="David" w:hAnsi="David"/>
          <w:rtl/>
        </w:rPr>
        <w:tab/>
        <w:t>בסיכומיה (4.7.2023) טענה התובעת שהמחלוקת העיקרית שנותרה היא "...</w:t>
      </w:r>
      <w:r>
        <w:rPr>
          <w:rFonts w:ascii="David" w:hAnsi="David"/>
          <w:b/>
          <w:bCs/>
          <w:rtl/>
        </w:rPr>
        <w:t>סירוב של הנתבע לקבל את חוות דעת האקטואר המתוקנת שהוגשה לבית המשפט</w:t>
      </w:r>
      <w:r>
        <w:rPr>
          <w:rFonts w:ascii="David" w:hAnsi="David"/>
          <w:rtl/>
        </w:rPr>
        <w:t>". בהקשר זה טענה:</w:t>
      </w:r>
    </w:p>
    <w:p w:rsidR="00D63241" w:rsidRDefault="00D63241" w:rsidP="00D63241">
      <w:pPr>
        <w:spacing w:line="360" w:lineRule="auto"/>
        <w:ind w:left="714" w:hanging="630"/>
        <w:jc w:val="both"/>
        <w:rPr>
          <w:rFonts w:ascii="David" w:hAnsi="David"/>
          <w:rtl/>
        </w:rPr>
      </w:pPr>
    </w:p>
    <w:p w:rsidR="00D63241" w:rsidRDefault="00D63241" w:rsidP="00D63241">
      <w:pPr>
        <w:spacing w:line="360" w:lineRule="auto"/>
        <w:ind w:left="1440" w:hanging="726"/>
        <w:jc w:val="both"/>
        <w:rPr>
          <w:rFonts w:ascii="David" w:hAnsi="David"/>
          <w:rtl/>
        </w:rPr>
      </w:pPr>
      <w:r>
        <w:rPr>
          <w:rFonts w:ascii="David" w:hAnsi="David"/>
          <w:rtl/>
        </w:rPr>
        <w:t xml:space="preserve">א. </w:t>
      </w:r>
      <w:r>
        <w:rPr>
          <w:rFonts w:ascii="David" w:hAnsi="David"/>
          <w:rtl/>
        </w:rPr>
        <w:tab/>
      </w:r>
      <w:r>
        <w:rPr>
          <w:rFonts w:ascii="David" w:hAnsi="David"/>
          <w:u w:val="single"/>
          <w:rtl/>
        </w:rPr>
        <w:t>רכב ההונדה</w:t>
      </w:r>
      <w:r>
        <w:rPr>
          <w:rFonts w:ascii="David" w:hAnsi="David"/>
          <w:rtl/>
        </w:rPr>
        <w:t>: בחוות הדעת צויין ששווי רכב ההונדה לא נלקח בחשבון לצורך ביצוע איזון הרכוש המשותף שכן נקבע שם ש"</w:t>
      </w:r>
      <w:r>
        <w:rPr>
          <w:rFonts w:ascii="David" w:hAnsi="David"/>
          <w:b/>
          <w:bCs/>
          <w:rtl/>
        </w:rPr>
        <w:t>לדברי מ. הרכב ניתן מתנה לבן שלו ואינו עומד לרשותו</w:t>
      </w:r>
      <w:r>
        <w:rPr>
          <w:rFonts w:ascii="David" w:hAnsi="David"/>
          <w:rtl/>
        </w:rPr>
        <w:t>." התובעת טענה שרכב ההונדה מעולם לא ניתן לבן כמתנה. כמו כן, לא ניתן "</w:t>
      </w:r>
      <w:r>
        <w:rPr>
          <w:rFonts w:ascii="David" w:hAnsi="David"/>
          <w:b/>
          <w:bCs/>
          <w:rtl/>
        </w:rPr>
        <w:t>למחוק</w:t>
      </w:r>
      <w:r>
        <w:rPr>
          <w:rFonts w:ascii="David" w:hAnsi="David"/>
          <w:rtl/>
        </w:rPr>
        <w:t xml:space="preserve">" את זכותה לאיזון ברכב ההונדה בהסתמך על אמירה סתמית של הנתבע.  </w:t>
      </w:r>
    </w:p>
    <w:p w:rsidR="00D63241" w:rsidRDefault="00D63241" w:rsidP="00D63241">
      <w:pPr>
        <w:ind w:left="1440" w:hanging="726"/>
        <w:rPr>
          <w:rtl/>
        </w:rPr>
      </w:pPr>
    </w:p>
    <w:p w:rsidR="00D63241" w:rsidRDefault="00D63241" w:rsidP="00D63241">
      <w:pPr>
        <w:spacing w:line="360" w:lineRule="auto"/>
        <w:ind w:left="1440" w:hanging="726"/>
        <w:jc w:val="both"/>
        <w:rPr>
          <w:rFonts w:ascii="David" w:hAnsi="David"/>
          <w:rtl/>
        </w:rPr>
      </w:pPr>
      <w:r>
        <w:rPr>
          <w:rFonts w:ascii="David" w:hAnsi="David"/>
          <w:rtl/>
        </w:rPr>
        <w:tab/>
        <w:t>בחוות הדעת המעדכנת  הפנה המומחה לחוות הדעת בה העמיד את שווי הרכב על סך של 13,972 ₪. בהסתמך על הודעת הנתבע שהוגשה בתצהיר לא חתום שינה את חוות הדעת והעמיד את חלקה של התובעת ברכב ההונדה על סך 6,986 ₪.</w:t>
      </w:r>
    </w:p>
    <w:p w:rsidR="00D63241" w:rsidRDefault="00D63241" w:rsidP="00D63241">
      <w:pPr>
        <w:spacing w:line="360" w:lineRule="auto"/>
        <w:ind w:left="1440" w:hanging="726"/>
        <w:jc w:val="both"/>
        <w:rPr>
          <w:rFonts w:ascii="David" w:hAnsi="David"/>
          <w:rtl/>
        </w:rPr>
      </w:pPr>
      <w:r>
        <w:rPr>
          <w:rFonts w:ascii="David" w:hAnsi="David"/>
          <w:rtl/>
        </w:rPr>
        <w:t xml:space="preserve"> </w:t>
      </w:r>
    </w:p>
    <w:p w:rsidR="00D63241" w:rsidRDefault="00D63241" w:rsidP="00D63241">
      <w:pPr>
        <w:spacing w:line="360" w:lineRule="auto"/>
        <w:ind w:left="1440" w:hanging="726"/>
        <w:jc w:val="both"/>
        <w:rPr>
          <w:rFonts w:ascii="David" w:hAnsi="David"/>
          <w:rtl/>
        </w:rPr>
      </w:pPr>
      <w:r>
        <w:rPr>
          <w:rFonts w:ascii="David" w:hAnsi="David"/>
          <w:rtl/>
        </w:rPr>
        <w:tab/>
      </w:r>
      <w:r>
        <w:rPr>
          <w:rFonts w:ascii="David" w:hAnsi="David"/>
          <w:u w:val="single"/>
          <w:rtl/>
        </w:rPr>
        <w:t>רכב הטויוטה:</w:t>
      </w:r>
      <w:r>
        <w:rPr>
          <w:rFonts w:ascii="David" w:hAnsi="David"/>
          <w:rtl/>
        </w:rPr>
        <w:t xml:space="preserve"> התובעת הפנתה לפסק הדין  בו נקבע ששווי רכב הטויוטה לצורך האיזון יעשה לאחר מכירת הבית ועל כן שווי הרכב אינו רלוונטי למועד הכנת חוות הדעת ושווי הרכב לעת הגשת הסיכומים חודש יולי 2023 עומד על 128,000 ₪.</w:t>
      </w:r>
    </w:p>
    <w:p w:rsidR="00D63241" w:rsidRDefault="00D63241" w:rsidP="00D63241">
      <w:pPr>
        <w:spacing w:line="360" w:lineRule="auto"/>
        <w:ind w:left="1440" w:hanging="726"/>
        <w:jc w:val="both"/>
        <w:rPr>
          <w:rFonts w:ascii="David" w:hAnsi="David"/>
          <w:rtl/>
        </w:rPr>
      </w:pPr>
      <w:r>
        <w:rPr>
          <w:rFonts w:ascii="David" w:hAnsi="David"/>
          <w:rtl/>
        </w:rPr>
        <w:t xml:space="preserve"> </w:t>
      </w:r>
    </w:p>
    <w:p w:rsidR="00D63241" w:rsidRDefault="00D63241" w:rsidP="00D63241">
      <w:pPr>
        <w:spacing w:line="360" w:lineRule="auto"/>
        <w:ind w:left="1440" w:hanging="726"/>
        <w:jc w:val="both"/>
        <w:rPr>
          <w:rFonts w:ascii="David" w:hAnsi="David"/>
          <w:rtl/>
        </w:rPr>
      </w:pPr>
      <w:r>
        <w:rPr>
          <w:rFonts w:ascii="David" w:hAnsi="David"/>
          <w:rtl/>
        </w:rPr>
        <w:t xml:space="preserve">ב. </w:t>
      </w:r>
      <w:r>
        <w:rPr>
          <w:rFonts w:ascii="David" w:hAnsi="David"/>
          <w:rtl/>
        </w:rPr>
        <w:tab/>
        <w:t xml:space="preserve">לעניין </w:t>
      </w:r>
      <w:r>
        <w:rPr>
          <w:rFonts w:ascii="David" w:hAnsi="David"/>
          <w:u w:val="single"/>
          <w:rtl/>
        </w:rPr>
        <w:t>איזון כספי</w:t>
      </w:r>
      <w:r>
        <w:rPr>
          <w:rFonts w:ascii="David" w:hAnsi="David"/>
          <w:rtl/>
        </w:rPr>
        <w:t xml:space="preserve"> טענה התובעת שמשך 5 חודשים לא השתתף הנתבע בתשלום משכנתא והיא נשאה בתשלומים לבדה. טענה שעל אף שצורפו המסמכים התומכים בכך  נעלמו אלו מעיניו של המומחה ועל כן אין לתשלומיה ביטוי בחוות הדעת. טעות זו תוקנה בחוות הדעת המעדכנת בה נקבע שהנתבע ישיב לה את המחצית בשווי  1,586 ₪.    </w:t>
      </w:r>
    </w:p>
    <w:p w:rsidR="00D63241" w:rsidRDefault="00D63241" w:rsidP="00D63241">
      <w:pPr>
        <w:spacing w:line="360" w:lineRule="auto"/>
        <w:ind w:left="1440" w:hanging="726"/>
        <w:jc w:val="both"/>
        <w:rPr>
          <w:rFonts w:ascii="David" w:hAnsi="David"/>
          <w:rtl/>
        </w:rPr>
      </w:pPr>
    </w:p>
    <w:p w:rsidR="00D63241" w:rsidRDefault="00D63241" w:rsidP="00D63241">
      <w:pPr>
        <w:spacing w:line="360" w:lineRule="auto"/>
        <w:ind w:left="1440" w:hanging="726"/>
        <w:jc w:val="both"/>
        <w:rPr>
          <w:rFonts w:ascii="David" w:hAnsi="David"/>
          <w:rtl/>
        </w:rPr>
      </w:pPr>
      <w:r>
        <w:rPr>
          <w:rFonts w:ascii="David" w:hAnsi="David"/>
          <w:rtl/>
        </w:rPr>
        <w:t xml:space="preserve">ג. </w:t>
      </w:r>
      <w:r>
        <w:rPr>
          <w:rFonts w:ascii="David" w:hAnsi="David"/>
          <w:rtl/>
        </w:rPr>
        <w:tab/>
      </w:r>
      <w:r>
        <w:rPr>
          <w:rFonts w:ascii="David" w:hAnsi="David"/>
          <w:u w:val="single"/>
          <w:rtl/>
        </w:rPr>
        <w:t>תכשיטים אישיים</w:t>
      </w:r>
      <w:r>
        <w:rPr>
          <w:rFonts w:ascii="David" w:hAnsi="David"/>
          <w:rtl/>
        </w:rPr>
        <w:t xml:space="preserve">:  התובעת טענה כי הנתבע גזל את תכשיטי הזהב האישיים שלה אשר להם ערך סנטימנטלי רב עבורה. </w:t>
      </w:r>
    </w:p>
    <w:p w:rsidR="00D63241" w:rsidRDefault="00D63241" w:rsidP="00D63241">
      <w:pPr>
        <w:spacing w:line="360" w:lineRule="auto"/>
        <w:ind w:left="1440" w:hanging="726"/>
        <w:jc w:val="both"/>
        <w:rPr>
          <w:rFonts w:ascii="David" w:hAnsi="David"/>
          <w:rtl/>
        </w:rPr>
      </w:pPr>
    </w:p>
    <w:p w:rsidR="00D63241" w:rsidRDefault="00D63241" w:rsidP="00D63241">
      <w:pPr>
        <w:spacing w:line="360" w:lineRule="auto"/>
        <w:ind w:left="1440" w:hanging="726"/>
        <w:jc w:val="both"/>
        <w:rPr>
          <w:rFonts w:ascii="David" w:hAnsi="David"/>
          <w:rtl/>
        </w:rPr>
      </w:pPr>
      <w:r>
        <w:rPr>
          <w:rFonts w:ascii="David" w:hAnsi="David"/>
          <w:rtl/>
        </w:rPr>
        <w:lastRenderedPageBreak/>
        <w:t>ד.</w:t>
      </w:r>
      <w:r>
        <w:rPr>
          <w:rFonts w:ascii="David" w:hAnsi="David"/>
          <w:rtl/>
        </w:rPr>
        <w:tab/>
        <w:t xml:space="preserve">לאור האמור ביקשה שבית המשפט יורה על איזון שווי רכב ההונדה על פי חוות הדעת  (המעדכנת), איזון שווי רכב הטויוטה בהתאם למועד קבלת התשלום הראשון עבור הדירה, השבה של מחצית סכום המשכנתא ששילמה ביתר על פי חוות הדעת המתקנת (המעדכנת) והשבת תכשיטיה.  </w:t>
      </w:r>
    </w:p>
    <w:p w:rsidR="00D63241" w:rsidRDefault="00D63241" w:rsidP="00D63241">
      <w:pPr>
        <w:spacing w:line="360" w:lineRule="auto"/>
        <w:jc w:val="both"/>
        <w:rPr>
          <w:rFonts w:ascii="David" w:hAnsi="David"/>
          <w:rtl/>
        </w:rPr>
      </w:pPr>
    </w:p>
    <w:p w:rsidR="00D63241" w:rsidRDefault="00D63241" w:rsidP="00D63241">
      <w:pPr>
        <w:spacing w:line="360" w:lineRule="auto"/>
        <w:ind w:left="720" w:hanging="720"/>
        <w:jc w:val="both"/>
        <w:rPr>
          <w:rFonts w:ascii="David" w:hAnsi="David"/>
          <w:rtl/>
        </w:rPr>
      </w:pPr>
      <w:r>
        <w:rPr>
          <w:rFonts w:ascii="David" w:hAnsi="David"/>
          <w:rtl/>
        </w:rPr>
        <w:t xml:space="preserve">6. </w:t>
      </w:r>
      <w:r>
        <w:rPr>
          <w:rFonts w:ascii="David" w:hAnsi="David"/>
          <w:rtl/>
        </w:rPr>
        <w:tab/>
        <w:t>בסיכומיו (19.7.2023) הפנה הנתבע לפסק הדין וטען:</w:t>
      </w:r>
    </w:p>
    <w:p w:rsidR="00D63241" w:rsidRDefault="00D63241" w:rsidP="00D63241">
      <w:pPr>
        <w:spacing w:line="360" w:lineRule="auto"/>
        <w:ind w:left="720" w:hanging="720"/>
        <w:jc w:val="both"/>
        <w:rPr>
          <w:rFonts w:ascii="David" w:hAnsi="David"/>
          <w:rtl/>
        </w:rPr>
      </w:pPr>
    </w:p>
    <w:p w:rsidR="00D63241" w:rsidRDefault="00D63241" w:rsidP="00D63241">
      <w:pPr>
        <w:spacing w:line="360" w:lineRule="auto"/>
        <w:ind w:left="1440" w:hanging="720"/>
        <w:jc w:val="both"/>
        <w:rPr>
          <w:rFonts w:ascii="David" w:hAnsi="David"/>
          <w:rtl/>
        </w:rPr>
      </w:pPr>
      <w:r>
        <w:rPr>
          <w:rFonts w:ascii="David" w:hAnsi="David"/>
          <w:rtl/>
        </w:rPr>
        <w:t>א.</w:t>
      </w:r>
      <w:r>
        <w:rPr>
          <w:rFonts w:ascii="David" w:hAnsi="David"/>
          <w:rtl/>
        </w:rPr>
        <w:tab/>
        <w:t>הנבתע טען ביחס לשאלות ההבהרה שביום 31.5.2023 ניתנה החלטה בה נקבע  "</w:t>
      </w:r>
      <w:r>
        <w:rPr>
          <w:rFonts w:ascii="David" w:hAnsi="David"/>
          <w:b/>
          <w:bCs/>
          <w:rtl/>
        </w:rPr>
        <w:t xml:space="preserve">"בית המשפט לא מאשר את תשובות ההבהרה של  המומחה" בכך, למעשה, דחה כב' ביהמ"ש את תשובות ההבהרה של המומחה על שאלות ההבהרה  שהגישה </w:t>
      </w:r>
      <w:r>
        <w:rPr>
          <w:rFonts w:ascii="David" w:hAnsi="David"/>
          <w:b/>
          <w:bCs/>
          <w:u w:val="single"/>
          <w:rtl/>
        </w:rPr>
        <w:t>התובעת</w:t>
      </w:r>
      <w:r>
        <w:rPr>
          <w:rFonts w:ascii="David" w:hAnsi="David"/>
          <w:rtl/>
        </w:rPr>
        <w:t xml:space="preserve">  (הדגש בקו תחתי במקור). (ראו להלן). משכך סבר שהשינויים שהוכנסו בחוות הדעת על ידי המומחה כביטויים בחוות הדעת המעדכנת אינם רלוונטיים ויש לדחות את חוות הדעת המעדכנת.</w:t>
      </w:r>
    </w:p>
    <w:p w:rsidR="00D63241" w:rsidRDefault="00D63241" w:rsidP="00D63241">
      <w:pPr>
        <w:spacing w:line="360" w:lineRule="auto"/>
        <w:ind w:left="720" w:hanging="720"/>
        <w:jc w:val="both"/>
        <w:rPr>
          <w:rFonts w:ascii="David" w:hAnsi="David"/>
          <w:rtl/>
        </w:rPr>
      </w:pPr>
    </w:p>
    <w:p w:rsidR="00D63241" w:rsidRDefault="00D63241" w:rsidP="00D63241">
      <w:pPr>
        <w:spacing w:line="360" w:lineRule="auto"/>
        <w:ind w:left="1440" w:hanging="720"/>
        <w:jc w:val="both"/>
        <w:rPr>
          <w:rFonts w:ascii="David" w:hAnsi="David"/>
          <w:rtl/>
        </w:rPr>
      </w:pPr>
      <w:r>
        <w:rPr>
          <w:rFonts w:ascii="David" w:hAnsi="David"/>
          <w:rtl/>
        </w:rPr>
        <w:t xml:space="preserve"> ב.</w:t>
      </w:r>
      <w:r>
        <w:rPr>
          <w:rFonts w:ascii="David" w:hAnsi="David"/>
          <w:rtl/>
        </w:rPr>
        <w:tab/>
      </w:r>
      <w:r>
        <w:rPr>
          <w:rFonts w:ascii="David" w:hAnsi="David"/>
          <w:u w:val="single"/>
          <w:rtl/>
        </w:rPr>
        <w:t>רכב ההונדה</w:t>
      </w:r>
      <w:r>
        <w:rPr>
          <w:rFonts w:ascii="David" w:hAnsi="David"/>
          <w:rtl/>
        </w:rPr>
        <w:t>: יש לנהוג על פי חוות הדעת. הרכב הועבר לבן ועל כן נקבע שווי איזון בסך אפס ₪.</w:t>
      </w:r>
    </w:p>
    <w:p w:rsidR="00D63241" w:rsidRDefault="00D63241" w:rsidP="00D63241">
      <w:pPr>
        <w:ind w:left="1440" w:hanging="720"/>
        <w:rPr>
          <w:rtl/>
        </w:rPr>
      </w:pPr>
    </w:p>
    <w:p w:rsidR="00D63241" w:rsidRDefault="00D63241" w:rsidP="00D63241">
      <w:pPr>
        <w:spacing w:line="360" w:lineRule="auto"/>
        <w:ind w:left="1440"/>
        <w:jc w:val="both"/>
        <w:rPr>
          <w:rFonts w:ascii="David" w:hAnsi="David"/>
          <w:rtl/>
        </w:rPr>
      </w:pPr>
      <w:r>
        <w:rPr>
          <w:rFonts w:ascii="David" w:hAnsi="David"/>
          <w:u w:val="single"/>
          <w:rtl/>
        </w:rPr>
        <w:t>רכב הטויוטה</w:t>
      </w:r>
      <w:r>
        <w:rPr>
          <w:rFonts w:ascii="David" w:hAnsi="David"/>
          <w:rtl/>
        </w:rPr>
        <w:t xml:space="preserve">:  זכרון דברים למכירת הבית נחתם ביום 22.11.2022 וחתימה סופית צפויה ליום 19.7.2023. שוויו של הרכב עמד במועד זכרון הדברים, המועד הקובע (מכירת הבית על פי פסק הדין), על סך של  132,794 ₪.  על כן, על התובעת להעביר לו סך של  66,397 ₪. הנתבע ביקש לחייב התובעת בהפרשי הצמדה וריבית ממועד החתימה על זכרון הדברים ועד ליום התשלום בפועל.    </w:t>
      </w:r>
    </w:p>
    <w:p w:rsidR="00D63241" w:rsidRDefault="00D63241" w:rsidP="00D63241">
      <w:pPr>
        <w:spacing w:line="360" w:lineRule="auto"/>
        <w:ind w:left="1440"/>
        <w:jc w:val="both"/>
        <w:rPr>
          <w:rFonts w:ascii="David" w:hAnsi="David"/>
          <w:rtl/>
        </w:rPr>
      </w:pPr>
    </w:p>
    <w:p w:rsidR="00D63241" w:rsidRDefault="00D63241" w:rsidP="00D63241">
      <w:pPr>
        <w:spacing w:line="360" w:lineRule="auto"/>
        <w:ind w:left="1440" w:hanging="720"/>
        <w:jc w:val="both"/>
        <w:rPr>
          <w:rFonts w:ascii="David" w:hAnsi="David"/>
          <w:rtl/>
        </w:rPr>
      </w:pPr>
      <w:r>
        <w:rPr>
          <w:rFonts w:ascii="David" w:hAnsi="David"/>
          <w:rtl/>
        </w:rPr>
        <w:t>ג.</w:t>
      </w:r>
      <w:r>
        <w:rPr>
          <w:rFonts w:ascii="David" w:hAnsi="David"/>
          <w:rtl/>
        </w:rPr>
        <w:tab/>
        <w:t>טען שחלקו בתשלום "...</w:t>
      </w:r>
      <w:r>
        <w:rPr>
          <w:rFonts w:ascii="David" w:hAnsi="David"/>
          <w:b/>
          <w:bCs/>
          <w:rtl/>
        </w:rPr>
        <w:t>נכסים והתחייבויות משותפות</w:t>
      </w:r>
      <w:r>
        <w:rPr>
          <w:rFonts w:ascii="David" w:hAnsi="David"/>
          <w:rtl/>
        </w:rPr>
        <w:t>" עומד על מחצית מסך של  1,941 ₪  לאמור סך של  970.5 ₪ .</w:t>
      </w:r>
    </w:p>
    <w:p w:rsidR="00D63241" w:rsidRDefault="00D63241" w:rsidP="00D63241">
      <w:pPr>
        <w:spacing w:line="360" w:lineRule="auto"/>
        <w:ind w:left="1440" w:hanging="720"/>
        <w:jc w:val="both"/>
        <w:rPr>
          <w:rFonts w:ascii="David" w:hAnsi="David"/>
          <w:rtl/>
        </w:rPr>
      </w:pPr>
    </w:p>
    <w:p w:rsidR="00D63241" w:rsidRDefault="00D63241" w:rsidP="00D63241">
      <w:pPr>
        <w:spacing w:line="360" w:lineRule="auto"/>
        <w:ind w:left="1440" w:hanging="720"/>
        <w:jc w:val="both"/>
        <w:rPr>
          <w:rFonts w:ascii="David" w:hAnsi="David"/>
          <w:rtl/>
        </w:rPr>
      </w:pPr>
      <w:r>
        <w:rPr>
          <w:rFonts w:ascii="David" w:hAnsi="David"/>
          <w:rtl/>
        </w:rPr>
        <w:t>ד</w:t>
      </w:r>
      <w:r>
        <w:rPr>
          <w:rFonts w:ascii="David" w:hAnsi="David"/>
          <w:rtl/>
        </w:rPr>
        <w:tab/>
        <w:t>עוד טען שעל פי פרק ג' לחוות הדעת על התובעת להעביר לו סך של  7,385 ₪. כך, טען שהמענק "</w:t>
      </w:r>
      <w:r>
        <w:rPr>
          <w:rFonts w:ascii="David" w:hAnsi="David"/>
          <w:b/>
          <w:bCs/>
          <w:rtl/>
        </w:rPr>
        <w:t>נכות מעבודה</w:t>
      </w:r>
      <w:r>
        <w:rPr>
          <w:rFonts w:ascii="David" w:hAnsi="David"/>
          <w:rtl/>
        </w:rPr>
        <w:t>" שקיבל עקב תאונת עבודה בסך 33,618 ₪ הוכנס "...</w:t>
      </w:r>
      <w:r>
        <w:rPr>
          <w:rFonts w:ascii="David" w:hAnsi="David"/>
          <w:b/>
          <w:bCs/>
          <w:rtl/>
        </w:rPr>
        <w:t>בטעות לחשבון המשותף (על אף הודעת הנתבע לביטוח לאומי לא לעשות כן) יש להשיב את מלוא הסכום לידי הנתבע</w:t>
      </w:r>
      <w:r>
        <w:rPr>
          <w:rFonts w:ascii="David" w:hAnsi="David"/>
          <w:rtl/>
        </w:rPr>
        <w:t>" . עוד טען באופן דומה שהסך של  40,936 ₪ שקיבל כ-"</w:t>
      </w:r>
      <w:r>
        <w:rPr>
          <w:rFonts w:ascii="David" w:hAnsi="David"/>
          <w:b/>
          <w:bCs/>
          <w:rtl/>
        </w:rPr>
        <w:t>גמלת נכות</w:t>
      </w:r>
      <w:r>
        <w:rPr>
          <w:rFonts w:ascii="David" w:hAnsi="David"/>
          <w:rtl/>
        </w:rPr>
        <w:t xml:space="preserve">" הוא סכום השייך לו בלבד. </w:t>
      </w:r>
    </w:p>
    <w:p w:rsidR="00D63241" w:rsidRDefault="00D63241" w:rsidP="00D63241">
      <w:pPr>
        <w:spacing w:line="360" w:lineRule="auto"/>
        <w:ind w:left="1440" w:hanging="720"/>
        <w:jc w:val="both"/>
        <w:rPr>
          <w:rFonts w:ascii="David" w:hAnsi="David"/>
          <w:rtl/>
        </w:rPr>
      </w:pPr>
      <w:r>
        <w:rPr>
          <w:rFonts w:ascii="David" w:hAnsi="David"/>
          <w:rtl/>
        </w:rPr>
        <w:tab/>
      </w:r>
    </w:p>
    <w:p w:rsidR="00D63241" w:rsidRDefault="00D63241" w:rsidP="00D63241">
      <w:pPr>
        <w:spacing w:line="360" w:lineRule="auto"/>
        <w:ind w:left="1440" w:hanging="720"/>
        <w:jc w:val="both"/>
        <w:rPr>
          <w:rFonts w:ascii="David" w:hAnsi="David"/>
          <w:rtl/>
        </w:rPr>
      </w:pPr>
      <w:r>
        <w:rPr>
          <w:rFonts w:ascii="David" w:hAnsi="David"/>
          <w:rtl/>
        </w:rPr>
        <w:t>ה.</w:t>
      </w:r>
      <w:r>
        <w:rPr>
          <w:rFonts w:ascii="David" w:hAnsi="David"/>
          <w:rtl/>
        </w:rPr>
        <w:tab/>
        <w:t>בעניין טענות התובעת בנושא התכשיטים ותשלומי היתר במשכנתא , טען שמדובר בהרחבת חזית ולא ניתנה התייחסותו לנושאים.</w:t>
      </w:r>
    </w:p>
    <w:p w:rsidR="00D63241" w:rsidRDefault="00D63241" w:rsidP="00D63241">
      <w:pPr>
        <w:spacing w:line="360" w:lineRule="auto"/>
        <w:ind w:left="1440" w:hanging="720"/>
        <w:jc w:val="both"/>
        <w:rPr>
          <w:rFonts w:ascii="David" w:hAnsi="David"/>
          <w:rtl/>
        </w:rPr>
      </w:pPr>
    </w:p>
    <w:p w:rsidR="00D63241" w:rsidRDefault="00D63241" w:rsidP="00D63241">
      <w:pPr>
        <w:spacing w:line="360" w:lineRule="auto"/>
        <w:ind w:left="84"/>
        <w:jc w:val="both"/>
        <w:rPr>
          <w:rFonts w:ascii="David" w:hAnsi="David"/>
          <w:b/>
          <w:bCs/>
          <w:sz w:val="28"/>
          <w:szCs w:val="28"/>
          <w:rtl/>
        </w:rPr>
      </w:pPr>
      <w:r>
        <w:rPr>
          <w:rFonts w:ascii="David" w:hAnsi="David"/>
          <w:b/>
          <w:bCs/>
          <w:sz w:val="28"/>
          <w:szCs w:val="28"/>
          <w:u w:val="single"/>
          <w:rtl/>
        </w:rPr>
        <w:t>עוד מתוך ההליך</w:t>
      </w:r>
      <w:r>
        <w:rPr>
          <w:rFonts w:ascii="David" w:hAnsi="David"/>
          <w:b/>
          <w:bCs/>
          <w:sz w:val="28"/>
          <w:szCs w:val="28"/>
          <w:rtl/>
        </w:rPr>
        <w:t>:</w:t>
      </w:r>
    </w:p>
    <w:p w:rsidR="00D63241" w:rsidRDefault="00D63241" w:rsidP="00D63241">
      <w:pPr>
        <w:spacing w:line="360" w:lineRule="auto"/>
        <w:ind w:left="84"/>
        <w:jc w:val="both"/>
        <w:rPr>
          <w:rFonts w:ascii="David" w:hAnsi="David"/>
          <w:b/>
          <w:bCs/>
          <w:sz w:val="26"/>
          <w:szCs w:val="26"/>
          <w:rtl/>
        </w:rPr>
      </w:pPr>
    </w:p>
    <w:p w:rsidR="00D63241" w:rsidRDefault="00D63241" w:rsidP="00D63241">
      <w:pPr>
        <w:spacing w:line="360" w:lineRule="auto"/>
        <w:ind w:left="714" w:hanging="630"/>
        <w:jc w:val="both"/>
        <w:rPr>
          <w:rFonts w:ascii="David" w:hAnsi="David"/>
          <w:rtl/>
        </w:rPr>
      </w:pPr>
      <w:r>
        <w:rPr>
          <w:rFonts w:ascii="David" w:hAnsi="David"/>
          <w:rtl/>
        </w:rPr>
        <w:t xml:space="preserve">7. </w:t>
      </w:r>
      <w:r>
        <w:rPr>
          <w:rFonts w:ascii="David" w:hAnsi="David"/>
          <w:rtl/>
        </w:rPr>
        <w:tab/>
        <w:t>בין לבין ביום 9.7.23, עובר להגשת סיכומיו הגיש הנתבע "</w:t>
      </w:r>
      <w:r>
        <w:rPr>
          <w:rFonts w:ascii="David" w:hAnsi="David"/>
          <w:u w:val="single"/>
          <w:rtl/>
        </w:rPr>
        <w:t>בקשה דחופה למתן הוראות בעניין סיכומי התובעת</w:t>
      </w:r>
      <w:r>
        <w:rPr>
          <w:rFonts w:ascii="David" w:hAnsi="David"/>
          <w:rtl/>
        </w:rPr>
        <w:t xml:space="preserve">". </w:t>
      </w:r>
    </w:p>
    <w:p w:rsidR="00D63241" w:rsidRDefault="00D63241" w:rsidP="00D63241">
      <w:pPr>
        <w:spacing w:line="600" w:lineRule="auto"/>
        <w:ind w:left="714" w:hanging="630"/>
        <w:jc w:val="both"/>
        <w:rPr>
          <w:rFonts w:ascii="David" w:hAnsi="David"/>
          <w:rtl/>
        </w:rPr>
      </w:pPr>
    </w:p>
    <w:p w:rsidR="00D63241" w:rsidRDefault="00D63241" w:rsidP="00D63241">
      <w:pPr>
        <w:spacing w:line="360" w:lineRule="auto"/>
        <w:ind w:left="714"/>
        <w:jc w:val="both"/>
        <w:rPr>
          <w:rFonts w:ascii="David" w:hAnsi="David"/>
          <w:rtl/>
        </w:rPr>
      </w:pPr>
      <w:r>
        <w:rPr>
          <w:rFonts w:ascii="David" w:hAnsi="David"/>
          <w:rtl/>
        </w:rPr>
        <w:t>בבקשתו טען שסיכומי התובעת מתעלמים מהחלטת בית המשפט לפיה לא יוגשו שאלות הבהרה, כמו כן יש בהם הרחבת חזית אסורה וצירוף מסמכים אסורים. התובעת דחתה  את בקשתו של הנתבע והשיבה לטענותיו אחת לאחת. לא מצאתחי להרחיב בטענות אלו (ראו החלטה מיום 25.4.2024).</w:t>
      </w:r>
    </w:p>
    <w:p w:rsidR="00D63241" w:rsidRDefault="00D63241" w:rsidP="00D63241">
      <w:pPr>
        <w:spacing w:line="360" w:lineRule="auto"/>
        <w:ind w:left="714"/>
        <w:jc w:val="both"/>
        <w:rPr>
          <w:rFonts w:ascii="David" w:hAnsi="David"/>
          <w:rtl/>
        </w:rPr>
      </w:pPr>
    </w:p>
    <w:p w:rsidR="00D63241" w:rsidRDefault="00D63241" w:rsidP="00D63241">
      <w:pPr>
        <w:spacing w:line="360" w:lineRule="auto"/>
        <w:ind w:left="714" w:hanging="630"/>
        <w:jc w:val="both"/>
        <w:rPr>
          <w:rFonts w:ascii="David" w:hAnsi="David"/>
          <w:b/>
          <w:bCs/>
          <w:rtl/>
        </w:rPr>
      </w:pPr>
      <w:r>
        <w:rPr>
          <w:rFonts w:ascii="David" w:hAnsi="David"/>
          <w:rtl/>
        </w:rPr>
        <w:t>8.</w:t>
      </w:r>
      <w:r>
        <w:rPr>
          <w:rFonts w:ascii="David" w:hAnsi="David"/>
          <w:rtl/>
        </w:rPr>
        <w:tab/>
        <w:t>ביום 25.04.2024 ניתנה החלטתי בבקשתו של הנתבע ובשל חשיבותה של ההחלטה לפסק הדין לאור בקשת הנתבע והתייחסותו לחוות הדעת אל מול חוות הדעת המעדכנת כפי שכאמור הובאה גם בסיכומיו תובא כאן ברובה ובזו הלשון:</w:t>
      </w:r>
    </w:p>
    <w:p w:rsidR="00D63241" w:rsidRDefault="00D63241" w:rsidP="00D63241">
      <w:pPr>
        <w:spacing w:line="360" w:lineRule="auto"/>
        <w:ind w:left="714" w:hanging="630"/>
        <w:jc w:val="both"/>
        <w:rPr>
          <w:rFonts w:ascii="David" w:hAnsi="David"/>
          <w:b/>
          <w:bCs/>
          <w:rtl/>
        </w:rPr>
      </w:pPr>
      <w:r>
        <w:rPr>
          <w:rFonts w:ascii="David" w:hAnsi="David"/>
          <w:b/>
          <w:bCs/>
          <w:rtl/>
        </w:rPr>
        <w:tab/>
        <w:t>"</w:t>
      </w:r>
    </w:p>
    <w:p w:rsidR="00D63241" w:rsidRDefault="00D63241" w:rsidP="00D63241">
      <w:pPr>
        <w:spacing w:line="360" w:lineRule="auto"/>
        <w:ind w:left="1440" w:hanging="636"/>
        <w:jc w:val="both"/>
        <w:rPr>
          <w:rFonts w:ascii="David" w:hAnsi="David"/>
          <w:b/>
          <w:bCs/>
          <w:rtl/>
        </w:rPr>
      </w:pPr>
      <w:r>
        <w:rPr>
          <w:rFonts w:ascii="David" w:hAnsi="David"/>
          <w:b/>
          <w:bCs/>
          <w:rtl/>
        </w:rPr>
        <w:t>6.</w:t>
      </w:r>
      <w:r>
        <w:rPr>
          <w:rFonts w:ascii="David" w:hAnsi="David"/>
          <w:b/>
          <w:bCs/>
          <w:rtl/>
        </w:rPr>
        <w:tab/>
        <w:t xml:space="preserve">טרם התייחסות לטענות שהועלו על ידי הנתבע ראוי להדגיש שהמסגרת שתוחמה על ידי הצדדים במסגרת הדיון בבית המשפט המחוזי ושקיבלה תוקף בפסק  הדין המחוזי הם שגודרים את ההסכמה באופן שכל רכוש שצברו הצדדים יחולק ביניהם בחלקים שווים  וכלשונם בדיון " כל רכוש הצדדים, ללא יוצא מן הכלל, וללא קשר על שם מי הוא רשום, יחולק בין הצדדים בחלקים שווים ביניהם" זו המסגרת המכתיבה את התוכן. </w:t>
      </w:r>
    </w:p>
    <w:p w:rsidR="00D63241" w:rsidRDefault="00D63241" w:rsidP="00D63241">
      <w:pPr>
        <w:pStyle w:val="Ruller4"/>
        <w:tabs>
          <w:tab w:val="left" w:pos="-5954"/>
        </w:tabs>
        <w:ind w:left="1440"/>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משכך, אין ולא יכולה להיות מחלוקת באשר לרכוש כלשהו המוחרג על ידי מי מהצדדים תהא טענתו אשר תהא.</w:t>
      </w:r>
    </w:p>
    <w:p w:rsidR="00D63241" w:rsidRDefault="00D63241" w:rsidP="00D63241">
      <w:pPr>
        <w:pStyle w:val="Ruller4"/>
        <w:tabs>
          <w:tab w:val="left" w:pos="-5954"/>
        </w:tabs>
        <w:ind w:left="746" w:hanging="720"/>
        <w:rPr>
          <w:rFonts w:ascii="David" w:hAnsi="David" w:cs="David"/>
          <w:b/>
          <w:bCs/>
          <w:noProof/>
          <w:spacing w:val="0"/>
          <w:kern w:val="0"/>
          <w:sz w:val="24"/>
          <w:szCs w:val="24"/>
          <w14:ligatures w14:val="none"/>
        </w:rPr>
      </w:pPr>
      <w:r>
        <w:rPr>
          <w:rFonts w:ascii="David" w:hAnsi="David" w:cs="David"/>
          <w:b/>
          <w:bCs/>
          <w:noProof/>
          <w:spacing w:val="0"/>
          <w:kern w:val="0"/>
          <w:sz w:val="24"/>
          <w:szCs w:val="24"/>
          <w:rtl/>
          <w14:ligatures w14:val="none"/>
        </w:rPr>
        <w:tab/>
        <w:t>7.</w:t>
      </w:r>
      <w:r>
        <w:rPr>
          <w:rFonts w:ascii="David" w:hAnsi="David" w:cs="David"/>
          <w:b/>
          <w:bCs/>
          <w:noProof/>
          <w:spacing w:val="0"/>
          <w:kern w:val="0"/>
          <w:sz w:val="24"/>
          <w:szCs w:val="24"/>
          <w:rtl/>
          <w14:ligatures w14:val="none"/>
        </w:rPr>
        <w:tab/>
        <w:t xml:space="preserve">טענתו המרכזית של הנתבע אשר יש בה להקרין על טענותיו האחרות, בבחינת </w:t>
      </w:r>
    </w:p>
    <w:p w:rsidR="00D63241" w:rsidRDefault="00D63241" w:rsidP="00D63241">
      <w:pPr>
        <w:pStyle w:val="Ruller4"/>
        <w:tabs>
          <w:tab w:val="left" w:pos="-5954"/>
        </w:tabs>
        <w:ind w:left="1436" w:hanging="720"/>
        <w:rPr>
          <w:rFonts w:ascii="David" w:hAnsi="David" w:cs="David"/>
          <w:b/>
          <w:bCs/>
          <w:noProof/>
          <w:spacing w:val="0"/>
          <w:kern w:val="0"/>
          <w:sz w:val="24"/>
          <w:szCs w:val="24"/>
          <w14:ligatures w14:val="none"/>
        </w:rPr>
      </w:pPr>
      <w:r>
        <w:rPr>
          <w:rFonts w:ascii="David" w:hAnsi="David" w:cs="David"/>
          <w:b/>
          <w:bCs/>
          <w:noProof/>
          <w:spacing w:val="0"/>
          <w:kern w:val="0"/>
          <w:sz w:val="24"/>
          <w:szCs w:val="24"/>
          <w:rtl/>
          <w14:ligatures w14:val="none"/>
        </w:rPr>
        <w:tab/>
      </w:r>
      <w:r>
        <w:rPr>
          <w:rFonts w:ascii="David" w:hAnsi="David" w:cs="David"/>
          <w:b/>
          <w:bCs/>
          <w:noProof/>
          <w:spacing w:val="0"/>
          <w:kern w:val="0"/>
          <w:sz w:val="24"/>
          <w:szCs w:val="24"/>
          <w:rtl/>
          <w14:ligatures w14:val="none"/>
        </w:rPr>
        <w:tab/>
        <w:t xml:space="preserve">אבן הראשה, היא ביחס לחוות הדעת המתוקנת של המומחה שצורפה לסיכומי התובעת. </w:t>
      </w:r>
    </w:p>
    <w:p w:rsidR="00D63241" w:rsidRDefault="00D63241" w:rsidP="00D63241">
      <w:pPr>
        <w:pStyle w:val="Ruller4"/>
        <w:tabs>
          <w:tab w:val="left" w:pos="720"/>
        </w:tabs>
        <w:ind w:left="1436"/>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הבסיס לטענתו בהקשרה של חוות הדעת המתוקנת הוא פרשנות שהעניק להחלטות בית המשפט בהקשר זה. בהתבסס על ההחלטה מיום 31/5/23 בה נקבע בין היתר "שבית המשפט לא מאשר את תשובות ההבהרה של המומחה" הסיק הנתבע שבית המשפט דחה את "תשובות ההבהרה של המומחה..." ופעל כך.</w:t>
      </w:r>
    </w:p>
    <w:p w:rsidR="00D63241" w:rsidRDefault="00D63241" w:rsidP="00D63241">
      <w:pPr>
        <w:pStyle w:val="Ruller4"/>
        <w:tabs>
          <w:tab w:val="left" w:pos="-5954"/>
        </w:tabs>
        <w:ind w:left="1436"/>
        <w:rPr>
          <w:rFonts w:ascii="David" w:hAnsi="David" w:cs="David"/>
          <w:b/>
          <w:bCs/>
          <w:noProof/>
          <w:spacing w:val="0"/>
          <w:kern w:val="0"/>
          <w:sz w:val="24"/>
          <w:szCs w:val="24"/>
          <w:rtl/>
          <w14:ligatures w14:val="none"/>
        </w:rPr>
      </w:pPr>
      <w:r>
        <w:rPr>
          <w:rFonts w:ascii="David" w:hAnsi="David" w:cs="David"/>
          <w:b/>
          <w:bCs/>
          <w:sz w:val="24"/>
          <w:szCs w:val="24"/>
          <w:rtl/>
        </w:rPr>
        <w:tab/>
      </w:r>
      <w:r>
        <w:rPr>
          <w:rFonts w:ascii="David" w:hAnsi="David" w:cs="David"/>
          <w:b/>
          <w:bCs/>
          <w:noProof/>
          <w:spacing w:val="0"/>
          <w:kern w:val="0"/>
          <w:sz w:val="24"/>
          <w:szCs w:val="24"/>
          <w:rtl/>
          <w14:ligatures w14:val="none"/>
        </w:rPr>
        <w:t xml:space="preserve">בעשותו כן נתפס הנתבע לכלל שגגה. ראש וראשון די בהחלטה המאפשרת הגשת שאלות הבהרה למומחה על חוות הדעת הראשונה. זו אוגדת בתוכה אפריורי התכנות של תיקון ושינוי חוות הדעת שניתנה. אם לא כן לצורך מה מוגשות שאלות ההבהרה למומחה? </w:t>
      </w:r>
    </w:p>
    <w:p w:rsidR="00D63241" w:rsidRDefault="00D63241" w:rsidP="00D63241">
      <w:pPr>
        <w:pStyle w:val="Ruller4"/>
        <w:tabs>
          <w:tab w:val="left" w:pos="-6153"/>
        </w:tabs>
        <w:ind w:left="1436"/>
        <w:rPr>
          <w:rFonts w:ascii="David" w:hAnsi="David" w:cs="David"/>
          <w:b/>
          <w:bCs/>
          <w:sz w:val="24"/>
          <w:szCs w:val="24"/>
          <w:rtl/>
        </w:rPr>
      </w:pPr>
      <w:r>
        <w:rPr>
          <w:rFonts w:ascii="David" w:hAnsi="David" w:cs="David"/>
          <w:b/>
          <w:bCs/>
          <w:noProof/>
          <w:spacing w:val="0"/>
          <w:kern w:val="0"/>
          <w:sz w:val="24"/>
          <w:szCs w:val="24"/>
          <w:rtl/>
          <w14:ligatures w14:val="none"/>
        </w:rPr>
        <w:tab/>
        <w:t>הדברים מקל וחומר לאור דברי באי כוח הצדדים בדיון (ראו פרוטוקול עמ' 8 ש' 23-10). בתום העלאת טענותיו ביקש ב"כ התובעת</w:t>
      </w:r>
      <w:r>
        <w:rPr>
          <w:rFonts w:ascii="David" w:hAnsi="David" w:cs="David"/>
          <w:b/>
          <w:bCs/>
          <w:sz w:val="24"/>
          <w:szCs w:val="24"/>
          <w:rtl/>
        </w:rPr>
        <w:t xml:space="preserve"> "</w:t>
      </w:r>
      <w:r>
        <w:rPr>
          <w:rFonts w:ascii="David" w:hAnsi="David" w:cs="David"/>
          <w:b/>
          <w:bCs/>
          <w:noProof/>
          <w:spacing w:val="0"/>
          <w:kern w:val="0"/>
          <w:sz w:val="24"/>
          <w:szCs w:val="24"/>
          <w:rtl/>
          <w14:ligatures w14:val="none"/>
        </w:rPr>
        <w:t>אנו נבקש שתינתן הארכה להגשת שאלות הבהרה ולאחר מכן אסכם בשאלות ותינתן החלטה" (שם).</w:t>
      </w:r>
      <w:r>
        <w:rPr>
          <w:rFonts w:ascii="David" w:hAnsi="David" w:cs="David"/>
          <w:b/>
          <w:bCs/>
          <w:sz w:val="24"/>
          <w:szCs w:val="24"/>
          <w:rtl/>
        </w:rPr>
        <w:t xml:space="preserve"> </w:t>
      </w:r>
    </w:p>
    <w:p w:rsidR="00D63241" w:rsidRDefault="00D63241" w:rsidP="00D63241">
      <w:pPr>
        <w:pStyle w:val="Ruller4"/>
        <w:tabs>
          <w:tab w:val="left" w:pos="-5302"/>
          <w:tab w:val="left" w:pos="-3601"/>
          <w:tab w:val="left" w:pos="-2751"/>
        </w:tabs>
        <w:ind w:left="1436"/>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בא כוחו של הנתבע התייחס לכך ואמר</w:t>
      </w:r>
      <w:r>
        <w:rPr>
          <w:rFonts w:ascii="David" w:hAnsi="David" w:cs="David"/>
          <w:b/>
          <w:bCs/>
          <w:sz w:val="24"/>
          <w:szCs w:val="24"/>
          <w:rtl/>
        </w:rPr>
        <w:t xml:space="preserve"> </w:t>
      </w:r>
      <w:r>
        <w:rPr>
          <w:rFonts w:ascii="David" w:hAnsi="David" w:cs="David"/>
          <w:b/>
          <w:bCs/>
          <w:noProof/>
          <w:spacing w:val="0"/>
          <w:kern w:val="0"/>
          <w:sz w:val="24"/>
          <w:szCs w:val="24"/>
          <w:rtl/>
          <w14:ligatures w14:val="none"/>
        </w:rPr>
        <w:t>"לאור הערת בית משפט, אם ב"כ התובעים מגישים שאלות הבהרה לאקטואר גם אני רוצה להגיש שאלות הבהרה לאקטואר"</w:t>
      </w:r>
      <w:r>
        <w:rPr>
          <w:rFonts w:ascii="David" w:hAnsi="David" w:cs="David"/>
          <w:b/>
          <w:bCs/>
          <w:sz w:val="24"/>
          <w:szCs w:val="24"/>
          <w:rtl/>
        </w:rPr>
        <w:t xml:space="preserve"> </w:t>
      </w:r>
      <w:r>
        <w:rPr>
          <w:rFonts w:ascii="David" w:hAnsi="David" w:cs="David"/>
          <w:b/>
          <w:bCs/>
          <w:noProof/>
          <w:spacing w:val="0"/>
          <w:kern w:val="0"/>
          <w:sz w:val="24"/>
          <w:szCs w:val="24"/>
          <w:rtl/>
          <w14:ligatures w14:val="none"/>
        </w:rPr>
        <w:t>(שם ש' 30). בדיון היה ברור לנתבע שחוות הדעת הראשונה אינה מקובלת והיא לוקה בחסר. ב"כ הנתבע הציע</w:t>
      </w:r>
      <w:r>
        <w:rPr>
          <w:rFonts w:ascii="David" w:hAnsi="David" w:cs="David"/>
          <w:b/>
          <w:bCs/>
          <w:sz w:val="24"/>
          <w:szCs w:val="24"/>
          <w:rtl/>
        </w:rPr>
        <w:t xml:space="preserve"> </w:t>
      </w:r>
      <w:r>
        <w:rPr>
          <w:rFonts w:ascii="David" w:hAnsi="David" w:cs="David"/>
          <w:b/>
          <w:bCs/>
          <w:noProof/>
          <w:spacing w:val="0"/>
          <w:kern w:val="0"/>
          <w:sz w:val="24"/>
          <w:szCs w:val="24"/>
          <w:rtl/>
          <w14:ligatures w14:val="none"/>
        </w:rPr>
        <w:t>"אם יקבלו את חוות הדעת האקטואר אפשר לסגור היום"</w:t>
      </w:r>
      <w:r>
        <w:rPr>
          <w:rFonts w:ascii="David" w:hAnsi="David" w:cs="David"/>
          <w:b/>
          <w:bCs/>
          <w:sz w:val="24"/>
          <w:szCs w:val="24"/>
          <w:rtl/>
        </w:rPr>
        <w:t xml:space="preserve"> </w:t>
      </w:r>
      <w:r>
        <w:rPr>
          <w:rFonts w:ascii="David" w:hAnsi="David" w:cs="David"/>
          <w:b/>
          <w:bCs/>
          <w:noProof/>
          <w:spacing w:val="0"/>
          <w:kern w:val="0"/>
          <w:sz w:val="24"/>
          <w:szCs w:val="24"/>
          <w:rtl/>
          <w14:ligatures w14:val="none"/>
        </w:rPr>
        <w:t xml:space="preserve">אך הצעה זו לא התקבלה. בשולי דבריו גם ב"כ הנתבע מודע לקשיים שבחוות הדעת הראשונה (שם ש' 36-32). ברם, עצם הרצון </w:t>
      </w:r>
      <w:r>
        <w:rPr>
          <w:rFonts w:ascii="David" w:hAnsi="David" w:cs="David"/>
          <w:b/>
          <w:bCs/>
          <w:noProof/>
          <w:spacing w:val="0"/>
          <w:kern w:val="0"/>
          <w:sz w:val="24"/>
          <w:szCs w:val="24"/>
          <w:rtl/>
          <w14:ligatures w14:val="none"/>
        </w:rPr>
        <w:lastRenderedPageBreak/>
        <w:t>של הנתבע להפנות שאלות למומחה מניחה רצון לתיקון מה שנחזה על ידי הנתבע כדרוש תיקון/הבהרה/שינוי. אם לא כך הוא לשם מה, כאמור, מבוקש להגיש שאלות למומחה?</w:t>
      </w:r>
    </w:p>
    <w:p w:rsidR="00D63241" w:rsidRDefault="00D63241" w:rsidP="00D63241">
      <w:pPr>
        <w:pStyle w:val="Ruller4"/>
        <w:tabs>
          <w:tab w:val="left" w:pos="-5954"/>
          <w:tab w:val="left" w:pos="-5869"/>
          <w:tab w:val="left" w:pos="-5302"/>
          <w:tab w:val="left" w:pos="-3601"/>
        </w:tabs>
        <w:ind w:left="1436"/>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 xml:space="preserve">טענת הנתבע שבית המשפט דחה את תשובות ההבהרה של המומחה אין בה ממש. צודקת התובעת בטענתה שלו היו נדחות תשובות ההבהרה של המומחה לא היו הן מועברות לתגובת הנתבע. יתרה מכך, ההחלטה מיום 31/5/23 מעידה על תובנה זו: בהחלטה נקבע מפורשות כמשתמע מהטקסט שבשלב זה זולת ההחלטה האופרטיבית לא מתערב בית המשפט לא בסוג השאלות (כל עוד הן עולות מהמחלוקת) ולא בסוג התשובות ובוודאי שלא ניתן היה להתעלם מחוות הדעת ללא דיון. </w:t>
      </w:r>
    </w:p>
    <w:p w:rsidR="00D63241" w:rsidRDefault="00D63241" w:rsidP="00D63241">
      <w:pPr>
        <w:pStyle w:val="Ruller4"/>
        <w:tabs>
          <w:tab w:val="left" w:pos="-5302"/>
          <w:tab w:val="left" w:pos="-3601"/>
        </w:tabs>
        <w:ind w:left="1436"/>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 xml:space="preserve">זאת, ועוד. ההרשאה שניתנה לבאי כוח הצדדים (אפשר לומר בהסכמתם) לשלוח שאלות הבהרה למומחה מניחה אפריורי שייתכן וחוות הדעת תעודכן או תשתנה לאור אותן שאלות. זו מהותה של האפשרות לשאלות הבהרה. כמובא לעיל הנתבע לא התנגד להחלטה. מקל וחומר שהמומחה נתן טעם והסבר לשינויים שהוכנסו ביחס לחוות הדעת המקורית. צא ולמד, לו היה המומחה מוזמן לחקירה על חוות הדעת שלו והיה מודה על טעות בה האם היה בית המשפט מתעלם מכך? בוודאי שלא. </w:t>
      </w:r>
    </w:p>
    <w:p w:rsidR="00D63241" w:rsidRDefault="00D63241" w:rsidP="00D63241">
      <w:pPr>
        <w:pStyle w:val="Ruller4"/>
        <w:tabs>
          <w:tab w:val="left" w:pos="-6153"/>
          <w:tab w:val="left" w:pos="-5302"/>
          <w:tab w:val="left" w:pos="-3601"/>
        </w:tabs>
        <w:ind w:left="1436"/>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 xml:space="preserve">כך, בתגובתו מיום 11/6/23 (כשחוות הדעת המתוקנת לנגד עיניו) לא ביקש הנתבע להוציא את חוות הדעת מהתיק ולא ביקש לחקור את המומחה על התיקונים שהכניס לחוות הדעת. </w:t>
      </w:r>
    </w:p>
    <w:p w:rsidR="00D63241" w:rsidRDefault="00D63241" w:rsidP="00D63241">
      <w:pPr>
        <w:pStyle w:val="Ruller4"/>
        <w:tabs>
          <w:tab w:val="left" w:pos="-5302"/>
          <w:tab w:val="left" w:pos="-3601"/>
        </w:tabs>
        <w:ind w:left="1436"/>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 xml:space="preserve">הנתבע  פרש את ההחלטה – גזר מכך שבית המשפט דחה את "תשובות ההבהרה של המומחה..." ופעל בהתאם. אין בפרשנות זו כדי לתאום את הדברים שנכתבו בהחלטות האמורות. </w:t>
      </w:r>
    </w:p>
    <w:p w:rsidR="00D63241" w:rsidRDefault="00D63241" w:rsidP="00D63241">
      <w:pPr>
        <w:pStyle w:val="Ruller4"/>
        <w:tabs>
          <w:tab w:val="left" w:pos="-5302"/>
          <w:tab w:val="left" w:pos="-3601"/>
        </w:tabs>
        <w:ind w:left="716"/>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r>
      <w:r>
        <w:rPr>
          <w:rFonts w:ascii="David" w:hAnsi="David" w:cs="David"/>
          <w:b/>
          <w:bCs/>
          <w:noProof/>
          <w:spacing w:val="0"/>
          <w:kern w:val="0"/>
          <w:sz w:val="24"/>
          <w:szCs w:val="24"/>
          <w:rtl/>
          <w14:ligatures w14:val="none"/>
        </w:rPr>
        <w:tab/>
        <w:t xml:space="preserve">אמור מעתה שטענה זו של הנתבע נדחית. </w:t>
      </w:r>
    </w:p>
    <w:p w:rsidR="00D63241" w:rsidRDefault="00D63241" w:rsidP="00D63241">
      <w:pPr>
        <w:pStyle w:val="Ruller4"/>
        <w:tabs>
          <w:tab w:val="left" w:pos="-5302"/>
          <w:tab w:val="left" w:pos="-3601"/>
        </w:tabs>
        <w:ind w:left="716" w:hanging="1840"/>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r>
      <w:r>
        <w:rPr>
          <w:rFonts w:ascii="David" w:hAnsi="David" w:cs="David"/>
          <w:b/>
          <w:bCs/>
          <w:noProof/>
          <w:spacing w:val="0"/>
          <w:kern w:val="0"/>
          <w:sz w:val="24"/>
          <w:szCs w:val="24"/>
          <w:rtl/>
          <w14:ligatures w14:val="none"/>
        </w:rPr>
        <w:tab/>
        <w:t>8.</w:t>
      </w:r>
      <w:r>
        <w:rPr>
          <w:rFonts w:ascii="David" w:hAnsi="David" w:cs="David"/>
          <w:b/>
          <w:bCs/>
          <w:noProof/>
          <w:spacing w:val="0"/>
          <w:kern w:val="0"/>
          <w:sz w:val="24"/>
          <w:szCs w:val="24"/>
          <w:rtl/>
          <w14:ligatures w14:val="none"/>
        </w:rPr>
        <w:tab/>
        <w:t xml:space="preserve">משנדחתה טענתו זו של הנתבע הרי שנשמט הבסיס לטענות האחרות שלו לעניין </w:t>
      </w:r>
    </w:p>
    <w:p w:rsidR="00D63241" w:rsidRDefault="00D63241" w:rsidP="00D63241">
      <w:pPr>
        <w:pStyle w:val="Ruller4"/>
        <w:tabs>
          <w:tab w:val="left" w:pos="-5302"/>
          <w:tab w:val="left" w:pos="-3601"/>
        </w:tabs>
        <w:ind w:left="716" w:hanging="1840"/>
        <w:rPr>
          <w:rFonts w:ascii="David" w:hAnsi="David" w:cs="David"/>
          <w:b/>
          <w:bCs/>
          <w:noProof/>
          <w:spacing w:val="0"/>
          <w:kern w:val="0"/>
          <w:sz w:val="24"/>
          <w:szCs w:val="24"/>
          <w:rtl/>
          <w14:ligatures w14:val="none"/>
        </w:rPr>
      </w:pPr>
      <w:r>
        <w:rPr>
          <w:rFonts w:ascii="David" w:hAnsi="David" w:cs="David"/>
          <w:b/>
          <w:bCs/>
          <w:noProof/>
          <w:spacing w:val="0"/>
          <w:kern w:val="0"/>
          <w:sz w:val="24"/>
          <w:szCs w:val="24"/>
          <w14:ligatures w14:val="none"/>
        </w:rPr>
        <w:tab/>
      </w:r>
      <w:r>
        <w:rPr>
          <w:rFonts w:ascii="David" w:hAnsi="David" w:cs="David"/>
          <w:b/>
          <w:bCs/>
          <w:noProof/>
          <w:spacing w:val="0"/>
          <w:kern w:val="0"/>
          <w:sz w:val="24"/>
          <w:szCs w:val="24"/>
          <w14:ligatures w14:val="none"/>
        </w:rPr>
        <w:tab/>
      </w:r>
      <w:r>
        <w:rPr>
          <w:rFonts w:ascii="David" w:hAnsi="David" w:cs="David"/>
          <w:b/>
          <w:bCs/>
          <w:noProof/>
          <w:spacing w:val="0"/>
          <w:kern w:val="0"/>
          <w:sz w:val="24"/>
          <w:szCs w:val="24"/>
          <w14:ligatures w14:val="none"/>
        </w:rPr>
        <w:tab/>
      </w:r>
      <w:r>
        <w:rPr>
          <w:rFonts w:ascii="David" w:hAnsi="David" w:cs="David"/>
          <w:b/>
          <w:bCs/>
          <w:noProof/>
          <w:spacing w:val="0"/>
          <w:kern w:val="0"/>
          <w:sz w:val="24"/>
          <w:szCs w:val="24"/>
          <w:rtl/>
          <w14:ligatures w14:val="none"/>
        </w:rPr>
        <w:t>אותה הרחבת חזית נטענת.</w:t>
      </w:r>
    </w:p>
    <w:p w:rsidR="00D63241" w:rsidRDefault="00D63241" w:rsidP="00D63241">
      <w:pPr>
        <w:pStyle w:val="Ruller4"/>
        <w:tabs>
          <w:tab w:val="left" w:pos="-5302"/>
          <w:tab w:val="left" w:pos="-3601"/>
        </w:tabs>
        <w:ind w:left="714" w:hanging="630"/>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9.</w:t>
      </w:r>
      <w:r>
        <w:rPr>
          <w:rFonts w:ascii="David" w:hAnsi="David" w:cs="David"/>
          <w:b/>
          <w:bCs/>
          <w:noProof/>
          <w:spacing w:val="0"/>
          <w:kern w:val="0"/>
          <w:sz w:val="24"/>
          <w:szCs w:val="24"/>
          <w:rtl/>
          <w14:ligatures w14:val="none"/>
        </w:rPr>
        <w:tab/>
        <w:t>למעלה מן הצורך מצאתי להעיר ביחס לטענות הנוספות את הדברים הבאים:</w:t>
      </w:r>
    </w:p>
    <w:p w:rsidR="00D63241" w:rsidRDefault="00D63241" w:rsidP="00D63241">
      <w:pPr>
        <w:pStyle w:val="Ruller4"/>
        <w:tabs>
          <w:tab w:val="left" w:pos="-5302"/>
          <w:tab w:val="left" w:pos="-3601"/>
        </w:tabs>
        <w:ind w:left="720" w:hanging="636"/>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r>
      <w:r>
        <w:rPr>
          <w:rFonts w:ascii="David" w:hAnsi="David" w:cs="David"/>
          <w:b/>
          <w:bCs/>
          <w:noProof/>
          <w:spacing w:val="0"/>
          <w:kern w:val="0"/>
          <w:sz w:val="24"/>
          <w:szCs w:val="24"/>
          <w:rtl/>
          <w14:ligatures w14:val="none"/>
        </w:rPr>
        <w:tab/>
        <w:t>א.</w:t>
      </w:r>
      <w:r>
        <w:rPr>
          <w:rFonts w:ascii="David" w:hAnsi="David" w:cs="David"/>
          <w:b/>
          <w:bCs/>
          <w:noProof/>
          <w:spacing w:val="0"/>
          <w:kern w:val="0"/>
          <w:sz w:val="24"/>
          <w:szCs w:val="24"/>
          <w:rtl/>
          <w14:ligatures w14:val="none"/>
        </w:rPr>
        <w:tab/>
        <w:t xml:space="preserve">לאור ההסכמות בבית המשפט המחוזי ופסק הדין שתיקף אותן ברי </w:t>
      </w:r>
    </w:p>
    <w:p w:rsidR="00D63241" w:rsidRDefault="00D63241" w:rsidP="00D63241">
      <w:pPr>
        <w:pStyle w:val="Ruller4"/>
        <w:tabs>
          <w:tab w:val="left" w:pos="-5302"/>
          <w:tab w:val="left" w:pos="-3601"/>
        </w:tabs>
        <w:ind w:left="2160" w:hanging="636"/>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שככל שהתובעת שילמה ביתר עבור המשכנתא שרבצה על בית הצדדים, לאחר מועד הקרע, הצדדים אמורים לחלוק בכך ועל התובע לשלם לה בעבור חלקו ששולם בפועל על ידה.</w:t>
      </w:r>
    </w:p>
    <w:p w:rsidR="00D63241" w:rsidRDefault="00D63241" w:rsidP="00D63241">
      <w:pPr>
        <w:pStyle w:val="Ruller4"/>
        <w:tabs>
          <w:tab w:val="left" w:pos="-5302"/>
          <w:tab w:val="left" w:pos="-3601"/>
          <w:tab w:val="left" w:pos="-625"/>
        </w:tabs>
        <w:ind w:left="804" w:hanging="720"/>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r>
      <w:r>
        <w:rPr>
          <w:rFonts w:ascii="David" w:hAnsi="David" w:cs="David"/>
          <w:b/>
          <w:bCs/>
          <w:noProof/>
          <w:spacing w:val="0"/>
          <w:kern w:val="0"/>
          <w:sz w:val="24"/>
          <w:szCs w:val="24"/>
          <w:rtl/>
          <w14:ligatures w14:val="none"/>
        </w:rPr>
        <w:tab/>
        <w:t>ב.</w:t>
      </w:r>
      <w:r>
        <w:rPr>
          <w:rFonts w:ascii="David" w:hAnsi="David" w:cs="David"/>
          <w:b/>
          <w:bCs/>
          <w:noProof/>
          <w:spacing w:val="0"/>
          <w:kern w:val="0"/>
          <w:sz w:val="24"/>
          <w:szCs w:val="24"/>
          <w:rtl/>
          <w14:ligatures w14:val="none"/>
        </w:rPr>
        <w:tab/>
        <w:t xml:space="preserve">כך, גם ביחס לטענת הנתבע שרכב ההונדה ניתן לבן. גם אם יש ממש </w:t>
      </w:r>
    </w:p>
    <w:p w:rsidR="00D63241" w:rsidRDefault="00D63241" w:rsidP="00D63241">
      <w:pPr>
        <w:pStyle w:val="Ruller4"/>
        <w:tabs>
          <w:tab w:val="left" w:pos="-5302"/>
          <w:tab w:val="left" w:pos="-3601"/>
          <w:tab w:val="left" w:pos="-625"/>
        </w:tabs>
        <w:ind w:left="2160" w:hanging="2076"/>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 xml:space="preserve">בטענה </w:t>
      </w:r>
      <w:r>
        <w:rPr>
          <w:rFonts w:ascii="David" w:hAnsi="David" w:cs="David"/>
          <w:b/>
          <w:bCs/>
          <w:noProof/>
          <w:spacing w:val="0"/>
          <w:kern w:val="0"/>
          <w:sz w:val="24"/>
          <w:szCs w:val="24"/>
          <w:rtl/>
          <w14:ligatures w14:val="none"/>
        </w:rPr>
        <w:tab/>
        <w:t xml:space="preserve">זו שלא גובתה בראייה, משעה שרכב ההונדה היה רשום במועד הקרע על שם הצדדים הרי הוא נופל להגדרת הצדדים את אופן חלוקת הרכוש ללא חריגים 'שווה בשווה'. התובעת העלתה את נושא רכב ההונדה וביקשה לחלק תמורתו בסעיף 15 לכתב התביעה. בכתב הגנתו התעלם הנתבע מסעיף זה בתביעתה ולא טען נגדו (ראו ס' 11 לכתב ההגנה המתייחס לסעיף 14 לכתב התביעה ואחריו סעיף 12 לכתב ההגנה הדן בהכחשת סעיף 16 לכתב התביעה). </w:t>
      </w:r>
    </w:p>
    <w:p w:rsidR="00D63241" w:rsidRDefault="00D63241" w:rsidP="00D63241">
      <w:pPr>
        <w:pStyle w:val="Ruller4"/>
        <w:tabs>
          <w:tab w:val="left" w:pos="-6153"/>
          <w:tab w:val="left" w:pos="-5954"/>
        </w:tabs>
        <w:ind w:left="1440" w:hanging="801"/>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lastRenderedPageBreak/>
        <w:tab/>
        <w:t>ג.</w:t>
      </w:r>
      <w:r>
        <w:rPr>
          <w:rFonts w:ascii="David" w:hAnsi="David" w:cs="David"/>
          <w:b/>
          <w:bCs/>
          <w:noProof/>
          <w:spacing w:val="0"/>
          <w:kern w:val="0"/>
          <w:sz w:val="24"/>
          <w:szCs w:val="24"/>
          <w:rtl/>
          <w14:ligatures w14:val="none"/>
        </w:rPr>
        <w:tab/>
        <w:t xml:space="preserve">קביעה זו על חלוקה שוויונית מתייחסת גם ביחס לתכשיטים. ברור שאם </w:t>
      </w:r>
    </w:p>
    <w:p w:rsidR="00D63241" w:rsidRDefault="00D63241" w:rsidP="00D63241">
      <w:pPr>
        <w:pStyle w:val="Ruller4"/>
        <w:tabs>
          <w:tab w:val="left" w:pos="-6153"/>
          <w:tab w:val="left" w:pos="-5954"/>
        </w:tabs>
        <w:ind w:left="2160" w:hanging="801"/>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 xml:space="preserve">במועד הקרע היו לתובעת תכשיטים אשר היוו חלק מהרכוש המשותף (למעט תכשיטים שהיו לתובעת עובר לנישואיה לתובע) אי אפשר להתעלם מהצורך בהשבתם. הנתבע לא טען לבעלות על מחצית התכשיטים או שווים  אלא הפנה כאמור, לכך שעצם העלאת הטענה להשבת התכשיטים מהווה הרחבת החזית. משעה שכך, אין מחלוקת שלפחות מחצית משווי תכשיטיה של התובעת (בהסתייגות דלעיל) אמורה להיות מושבת לה. שאלה זו תבחן לעת מתן פסק דין.  </w:t>
      </w:r>
    </w:p>
    <w:p w:rsidR="00D63241" w:rsidRDefault="00D63241" w:rsidP="00D63241">
      <w:pPr>
        <w:pStyle w:val="Ruller4"/>
        <w:tabs>
          <w:tab w:val="left" w:pos="-5954"/>
          <w:tab w:val="left" w:pos="425"/>
        </w:tabs>
        <w:ind w:left="1440" w:hanging="801"/>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ד.</w:t>
      </w:r>
      <w:r>
        <w:rPr>
          <w:rFonts w:ascii="David" w:hAnsi="David" w:cs="David"/>
          <w:b/>
          <w:bCs/>
          <w:noProof/>
          <w:spacing w:val="0"/>
          <w:kern w:val="0"/>
          <w:sz w:val="24"/>
          <w:szCs w:val="24"/>
          <w:rtl/>
          <w14:ligatures w14:val="none"/>
        </w:rPr>
        <w:tab/>
        <w:t xml:space="preserve">המסמכים שצורפו לסיכומי התובעת (זולת חוות הדעת המתוקנת) </w:t>
      </w:r>
    </w:p>
    <w:p w:rsidR="00D63241" w:rsidRDefault="00D63241" w:rsidP="00D63241">
      <w:pPr>
        <w:pStyle w:val="Ruller4"/>
        <w:tabs>
          <w:tab w:val="left" w:pos="-5954"/>
        </w:tabs>
        <w:ind w:left="2160" w:hanging="801"/>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משמשים כאמצעי להפניות עליהן מסתמכת התובעת בסיכומיה. באשר לחוות הדעת המתוקנת לאור המובא לעיל הרי שיש מקום לצירופה לתיק וכך אני מורה.</w:t>
      </w:r>
      <w:r>
        <w:rPr>
          <w:rFonts w:ascii="David" w:hAnsi="David" w:cs="David"/>
          <w:noProof/>
          <w:spacing w:val="0"/>
          <w:kern w:val="0"/>
          <w:sz w:val="24"/>
          <w:szCs w:val="24"/>
          <w:rtl/>
          <w14:ligatures w14:val="none"/>
        </w:rPr>
        <w:t xml:space="preserve">[...] </w:t>
      </w:r>
    </w:p>
    <w:p w:rsidR="00D63241" w:rsidRDefault="00D63241" w:rsidP="00D63241">
      <w:pPr>
        <w:pStyle w:val="Ruller4"/>
        <w:tabs>
          <w:tab w:val="left" w:pos="-5954"/>
        </w:tabs>
        <w:ind w:left="651" w:hanging="567"/>
        <w:rPr>
          <w:rFonts w:ascii="David" w:hAnsi="David" w:cs="David"/>
          <w:b/>
          <w:bCs/>
          <w:noProof/>
          <w:spacing w:val="0"/>
          <w:kern w:val="0"/>
          <w:sz w:val="24"/>
          <w:szCs w:val="24"/>
          <w:rtl/>
          <w14:ligatures w14:val="none"/>
        </w:rPr>
      </w:pPr>
      <w:r>
        <w:rPr>
          <w:rFonts w:ascii="David" w:hAnsi="David" w:cs="David"/>
          <w:b/>
          <w:bCs/>
          <w:noProof/>
          <w:spacing w:val="0"/>
          <w:kern w:val="0"/>
          <w:sz w:val="24"/>
          <w:szCs w:val="24"/>
          <w:rtl/>
          <w14:ligatures w14:val="none"/>
        </w:rPr>
        <w:tab/>
        <w:t>14.</w:t>
      </w:r>
      <w:r>
        <w:rPr>
          <w:rFonts w:ascii="David" w:hAnsi="David" w:cs="David"/>
          <w:b/>
          <w:bCs/>
          <w:noProof/>
          <w:spacing w:val="0"/>
          <w:kern w:val="0"/>
          <w:sz w:val="24"/>
          <w:szCs w:val="24"/>
          <w:rtl/>
          <w14:ligatures w14:val="none"/>
        </w:rPr>
        <w:tab/>
        <w:t xml:space="preserve">לאור החלטה זו יודיעו הצדדים האם מוכנים הם לאימוץ חוות הדעת המתוקנת, </w:t>
      </w:r>
    </w:p>
    <w:p w:rsidR="00D63241" w:rsidRDefault="00D63241" w:rsidP="00D63241">
      <w:pPr>
        <w:pStyle w:val="Ruller4"/>
        <w:tabs>
          <w:tab w:val="left" w:pos="-5954"/>
        </w:tabs>
        <w:ind w:left="1440" w:hanging="567"/>
        <w:rPr>
          <w:rFonts w:ascii="David" w:hAnsi="David" w:cs="David"/>
          <w:noProof/>
          <w:spacing w:val="0"/>
          <w:kern w:val="0"/>
          <w:sz w:val="24"/>
          <w:szCs w:val="24"/>
          <w:rtl/>
          <w14:ligatures w14:val="none"/>
        </w:rPr>
      </w:pPr>
      <w:r>
        <w:rPr>
          <w:rFonts w:ascii="David" w:hAnsi="David" w:cs="David"/>
          <w:b/>
          <w:bCs/>
          <w:noProof/>
          <w:spacing w:val="0"/>
          <w:kern w:val="0"/>
          <w:sz w:val="24"/>
          <w:szCs w:val="24"/>
          <w:rtl/>
          <w14:ligatures w14:val="none"/>
        </w:rPr>
        <w:tab/>
        <w:t>אם כן על פי איזו חלופה, או לחלופין האם מבקשים הם או מי מהם מתן פסק הדין על פי הסיכומים.</w:t>
      </w:r>
      <w:r>
        <w:rPr>
          <w:rFonts w:ascii="David" w:hAnsi="David" w:cs="David"/>
          <w:noProof/>
          <w:spacing w:val="0"/>
          <w:kern w:val="0"/>
          <w:sz w:val="24"/>
          <w:szCs w:val="24"/>
          <w:rtl/>
          <w14:ligatures w14:val="none"/>
        </w:rPr>
        <w:t>"</w:t>
      </w:r>
    </w:p>
    <w:p w:rsidR="00D63241" w:rsidRDefault="00D63241" w:rsidP="00D63241">
      <w:pPr>
        <w:pStyle w:val="Ruller4"/>
        <w:tabs>
          <w:tab w:val="left" w:pos="-5954"/>
        </w:tabs>
        <w:ind w:left="1440" w:hanging="789"/>
        <w:rPr>
          <w:rFonts w:ascii="David" w:hAnsi="David" w:cs="David"/>
          <w:b/>
          <w:bCs/>
          <w:noProof/>
          <w:spacing w:val="0"/>
          <w:kern w:val="0"/>
          <w:sz w:val="24"/>
          <w:szCs w:val="24"/>
          <w:rtl/>
          <w14:ligatures w14:val="none"/>
        </w:rPr>
      </w:pPr>
    </w:p>
    <w:p w:rsidR="00D63241" w:rsidRDefault="00D63241" w:rsidP="00D63241">
      <w:pPr>
        <w:pStyle w:val="Ruller4"/>
        <w:tabs>
          <w:tab w:val="left" w:pos="-5954"/>
        </w:tabs>
        <w:ind w:left="708" w:hanging="567"/>
        <w:rPr>
          <w:rFonts w:ascii="David" w:hAnsi="David" w:cs="David"/>
          <w:noProof/>
          <w:spacing w:val="0"/>
          <w:kern w:val="0"/>
          <w:sz w:val="24"/>
          <w:szCs w:val="24"/>
          <w:rtl/>
          <w14:ligatures w14:val="none"/>
        </w:rPr>
      </w:pPr>
      <w:r>
        <w:rPr>
          <w:rFonts w:ascii="David" w:hAnsi="David" w:cs="David"/>
          <w:noProof/>
          <w:spacing w:val="0"/>
          <w:kern w:val="0"/>
          <w:sz w:val="24"/>
          <w:szCs w:val="24"/>
          <w:rtl/>
          <w14:ligatures w14:val="none"/>
        </w:rPr>
        <w:t>10.</w:t>
      </w:r>
      <w:r>
        <w:rPr>
          <w:rFonts w:ascii="David" w:hAnsi="David" w:cs="David"/>
          <w:noProof/>
          <w:spacing w:val="0"/>
          <w:kern w:val="0"/>
          <w:sz w:val="24"/>
          <w:szCs w:val="24"/>
          <w:rtl/>
          <w14:ligatures w14:val="none"/>
        </w:rPr>
        <w:tab/>
        <w:t>מי מהצדדים לא הגיש  לבית המשפט המחוזי בקשת רשות ערעור על החלטה זו.</w:t>
      </w:r>
    </w:p>
    <w:p w:rsidR="00D63241" w:rsidRDefault="00D63241" w:rsidP="00D63241">
      <w:pPr>
        <w:spacing w:line="360" w:lineRule="auto"/>
        <w:ind w:left="714" w:hanging="630"/>
        <w:jc w:val="both"/>
        <w:rPr>
          <w:rFonts w:ascii="David" w:hAnsi="David"/>
          <w:b/>
          <w:bCs/>
          <w:rtl/>
        </w:rPr>
      </w:pPr>
    </w:p>
    <w:p w:rsidR="00D63241" w:rsidRDefault="00D63241" w:rsidP="00D63241">
      <w:pPr>
        <w:spacing w:line="360" w:lineRule="auto"/>
        <w:ind w:left="714" w:hanging="630"/>
        <w:jc w:val="both"/>
        <w:rPr>
          <w:rFonts w:ascii="David" w:hAnsi="David"/>
          <w:rtl/>
        </w:rPr>
      </w:pPr>
      <w:r>
        <w:rPr>
          <w:rFonts w:ascii="David" w:hAnsi="David"/>
          <w:rtl/>
        </w:rPr>
        <w:t xml:space="preserve">11. </w:t>
      </w:r>
      <w:r>
        <w:rPr>
          <w:rFonts w:ascii="David" w:hAnsi="David"/>
          <w:rtl/>
        </w:rPr>
        <w:tab/>
        <w:t xml:space="preserve">בו ביום, הגיש הנתבע תגובתו בה ביקש לתת פסק דין על פי סיכומיו. לגבי רכב ההונדה טען  " </w:t>
      </w:r>
      <w:r>
        <w:rPr>
          <w:rFonts w:ascii="David" w:hAnsi="David"/>
          <w:b/>
          <w:bCs/>
          <w:rtl/>
        </w:rPr>
        <w:t>לגבי רכב ההונדה- עקב התעקשותה של התובעת, היא מוזמנת להגיע לקבלו יחד עם מפתח הרכב</w:t>
      </w:r>
      <w:r>
        <w:rPr>
          <w:rFonts w:ascii="David" w:hAnsi="David"/>
          <w:rtl/>
        </w:rPr>
        <w:t>."</w:t>
      </w:r>
    </w:p>
    <w:p w:rsidR="00D63241" w:rsidRDefault="00D63241" w:rsidP="00D63241">
      <w:pPr>
        <w:spacing w:line="360" w:lineRule="auto"/>
        <w:ind w:left="84"/>
        <w:jc w:val="both"/>
        <w:rPr>
          <w:rFonts w:ascii="David" w:hAnsi="David"/>
          <w:b/>
          <w:bCs/>
          <w:sz w:val="26"/>
          <w:szCs w:val="26"/>
          <w:u w:val="single"/>
          <w:rtl/>
        </w:rPr>
      </w:pPr>
    </w:p>
    <w:p w:rsidR="00D63241" w:rsidRDefault="00D63241" w:rsidP="00D63241">
      <w:pPr>
        <w:spacing w:line="360" w:lineRule="auto"/>
        <w:ind w:left="84"/>
        <w:jc w:val="both"/>
        <w:rPr>
          <w:rFonts w:ascii="David" w:hAnsi="David"/>
          <w:b/>
          <w:bCs/>
          <w:sz w:val="28"/>
          <w:szCs w:val="28"/>
          <w:u w:val="single"/>
          <w:rtl/>
        </w:rPr>
      </w:pPr>
      <w:r>
        <w:rPr>
          <w:rFonts w:ascii="David" w:hAnsi="David"/>
          <w:b/>
          <w:bCs/>
          <w:sz w:val="28"/>
          <w:szCs w:val="28"/>
          <w:u w:val="single"/>
          <w:rtl/>
        </w:rPr>
        <w:t>דיון והכרעה</w:t>
      </w:r>
      <w:r>
        <w:rPr>
          <w:rFonts w:ascii="David" w:hAnsi="David"/>
          <w:b/>
          <w:bCs/>
          <w:sz w:val="28"/>
          <w:szCs w:val="28"/>
          <w:rtl/>
        </w:rPr>
        <w:t>:</w:t>
      </w:r>
    </w:p>
    <w:p w:rsidR="00D63241" w:rsidRDefault="00D63241" w:rsidP="00D63241">
      <w:pPr>
        <w:spacing w:line="360" w:lineRule="auto"/>
        <w:ind w:left="84"/>
        <w:jc w:val="both"/>
        <w:rPr>
          <w:rFonts w:ascii="David" w:hAnsi="David"/>
          <w:b/>
          <w:bCs/>
          <w:sz w:val="26"/>
          <w:szCs w:val="26"/>
          <w:u w:val="single"/>
          <w:rtl/>
        </w:rPr>
      </w:pPr>
    </w:p>
    <w:p w:rsidR="00D63241" w:rsidRDefault="00D63241" w:rsidP="00D63241">
      <w:pPr>
        <w:spacing w:line="600" w:lineRule="auto"/>
        <w:ind w:left="84" w:firstLine="630"/>
        <w:jc w:val="both"/>
        <w:rPr>
          <w:rFonts w:ascii="David" w:hAnsi="David"/>
          <w:b/>
          <w:bCs/>
          <w:rtl/>
        </w:rPr>
      </w:pPr>
      <w:r>
        <w:rPr>
          <w:rFonts w:ascii="David" w:hAnsi="David"/>
          <w:b/>
          <w:bCs/>
          <w:u w:val="single"/>
          <w:rtl/>
        </w:rPr>
        <w:t>חלוקת הרכבים</w:t>
      </w:r>
      <w:r>
        <w:rPr>
          <w:rFonts w:ascii="David" w:hAnsi="David"/>
          <w:b/>
          <w:bCs/>
          <w:rtl/>
        </w:rPr>
        <w:t>:</w:t>
      </w:r>
    </w:p>
    <w:p w:rsidR="00D63241" w:rsidRDefault="00D63241" w:rsidP="00D63241">
      <w:pPr>
        <w:spacing w:line="360" w:lineRule="auto"/>
        <w:ind w:left="714" w:hanging="714"/>
        <w:jc w:val="both"/>
        <w:rPr>
          <w:b/>
          <w:bCs/>
          <w:rtl/>
        </w:rPr>
      </w:pPr>
      <w:r>
        <w:rPr>
          <w:rFonts w:ascii="David" w:hAnsi="David"/>
          <w:rtl/>
        </w:rPr>
        <w:t xml:space="preserve">12. </w:t>
      </w:r>
      <w:r>
        <w:rPr>
          <w:rFonts w:ascii="David" w:hAnsi="David"/>
          <w:rtl/>
        </w:rPr>
        <w:tab/>
      </w:r>
      <w:r>
        <w:rPr>
          <w:rFonts w:ascii="David" w:hAnsi="David"/>
          <w:b/>
          <w:bCs/>
          <w:rtl/>
        </w:rPr>
        <w:t>רכב ההונדה</w:t>
      </w:r>
      <w:r>
        <w:rPr>
          <w:rFonts w:ascii="David" w:hAnsi="David"/>
          <w:rtl/>
        </w:rPr>
        <w:t>: בהסכמות הצדדים שקיבלו תוקף של פס"ד בבית המשפט המחוזי נקבע כלל גורף ש</w:t>
      </w:r>
      <w:r>
        <w:rPr>
          <w:b/>
          <w:bCs/>
          <w:rtl/>
        </w:rPr>
        <w:t xml:space="preserve"> "כל רכוש הצדדים, ללא יוצא מן הכלל, וללא קשר על שם מי הוא רשום, יחולק בין הצדדים בחלקים שווים ביניהם."</w:t>
      </w:r>
    </w:p>
    <w:p w:rsidR="00D63241" w:rsidRDefault="00D63241" w:rsidP="00D63241">
      <w:pPr>
        <w:spacing w:line="360" w:lineRule="auto"/>
        <w:ind w:left="714" w:hanging="714"/>
        <w:jc w:val="both"/>
        <w:rPr>
          <w:b/>
          <w:bCs/>
          <w:rtl/>
        </w:rPr>
      </w:pPr>
    </w:p>
    <w:p w:rsidR="00D63241" w:rsidRDefault="00D63241" w:rsidP="00D63241">
      <w:pPr>
        <w:spacing w:line="360" w:lineRule="auto"/>
        <w:ind w:left="714"/>
        <w:jc w:val="both"/>
        <w:rPr>
          <w:rtl/>
        </w:rPr>
      </w:pPr>
      <w:r>
        <w:rPr>
          <w:rtl/>
        </w:rPr>
        <w:t>בחוות הדעת הראשונה של האקטואר, לא נקבע שווי לרכב ההונדה וזאת בהסתמך על הצהרתו של הנתבע.  בחוות הדעת המעדכנת ומשעה שהנתבע לא חתם על תצהיר בעניין הענקת  רכב ההונדה במתנה לבן  קבע האקטואר כי שוויו של רכב ההונדה הוא 13,971 ₪ ועל כן יש להקטין את חלקו של הנתבע באיזון המשאבים בסך 6,986 ₪.</w:t>
      </w:r>
    </w:p>
    <w:p w:rsidR="00D63241" w:rsidRDefault="00D63241" w:rsidP="00D63241">
      <w:pPr>
        <w:spacing w:line="600" w:lineRule="auto"/>
        <w:ind w:left="714"/>
        <w:jc w:val="both"/>
        <w:rPr>
          <w:rtl/>
        </w:rPr>
      </w:pPr>
    </w:p>
    <w:p w:rsidR="00D63241" w:rsidRDefault="00D63241" w:rsidP="00D63241">
      <w:pPr>
        <w:spacing w:line="360" w:lineRule="auto"/>
        <w:ind w:left="714"/>
        <w:jc w:val="both"/>
        <w:rPr>
          <w:rtl/>
        </w:rPr>
      </w:pPr>
      <w:r>
        <w:rPr>
          <w:rtl/>
        </w:rPr>
        <w:t xml:space="preserve">לאחר ששקלתי את הדברים בשים לב להחלטה אני מאמץ את התיקון כביטויו בחוות הדעת המעדכנת. חיזוק לכך עולה גם מתגובתו של הנתבע להחלטה מיום 25.4.2024 בה כתב שהתובעת יכולה לבוא ולקבל את רכב ההונדה והמפתח. אמירה סתמית זו ללא הסבר, בדיוק כמו האמירה שהרכב ניתן במתנה לבן, מעידה על  סתמיותה. הכיצד שבה המתנה </w:t>
      </w:r>
      <w:r>
        <w:rPr>
          <w:rtl/>
        </w:rPr>
        <w:lastRenderedPageBreak/>
        <w:t xml:space="preserve">מהבן אליו ומתי? מדוע השיב הבן את הרכב? צירוף הדברים לאי חתימתו על  תצהיר מובילה אם כן לחיובו בשווי מחצית רכב ההונדה. </w:t>
      </w:r>
    </w:p>
    <w:p w:rsidR="00D63241" w:rsidRDefault="00D63241" w:rsidP="00D63241">
      <w:pPr>
        <w:spacing w:line="360" w:lineRule="auto"/>
        <w:ind w:left="714"/>
        <w:jc w:val="both"/>
        <w:rPr>
          <w:rtl/>
        </w:rPr>
      </w:pPr>
      <w:r>
        <w:rPr>
          <w:rtl/>
        </w:rPr>
        <w:t xml:space="preserve"> </w:t>
      </w:r>
    </w:p>
    <w:p w:rsidR="00D63241" w:rsidRDefault="00D63241" w:rsidP="00D63241">
      <w:pPr>
        <w:spacing w:line="360" w:lineRule="auto"/>
        <w:ind w:left="714" w:hanging="714"/>
        <w:jc w:val="both"/>
        <w:rPr>
          <w:rtl/>
        </w:rPr>
      </w:pPr>
      <w:r>
        <w:rPr>
          <w:rtl/>
        </w:rPr>
        <w:t xml:space="preserve">13. </w:t>
      </w:r>
      <w:r>
        <w:rPr>
          <w:rtl/>
        </w:rPr>
        <w:tab/>
      </w:r>
      <w:r>
        <w:rPr>
          <w:b/>
          <w:bCs/>
          <w:rtl/>
        </w:rPr>
        <w:t>רכב הטויוטה:</w:t>
      </w:r>
      <w:r>
        <w:rPr>
          <w:rtl/>
        </w:rPr>
        <w:t xml:space="preserve"> סעיף ט לפסק הדין קובע:  "</w:t>
      </w:r>
      <w:r>
        <w:rPr>
          <w:b/>
          <w:bCs/>
          <w:rtl/>
        </w:rPr>
        <w:t xml:space="preserve">לאחר מכירת הבית, ומחלקה של האישה בבית, לאחר קבלת התשלום הראשון, ישולם לבעל מחצית שוויו של הרכב, כפי שיהיה שוויו על-פי המחירון של יצחק לוי."  </w:t>
      </w:r>
      <w:r>
        <w:rPr>
          <w:rtl/>
        </w:rPr>
        <w:t xml:space="preserve">ברי שבמועד זכרון הדברים לא שולם "חלקה" של האישה וממילא אין לראות במועד זה המועד הקבוע בפסק הדין. </w:t>
      </w:r>
    </w:p>
    <w:p w:rsidR="00D63241" w:rsidRDefault="00D63241" w:rsidP="00D63241">
      <w:pPr>
        <w:spacing w:line="360" w:lineRule="auto"/>
        <w:ind w:left="714" w:hanging="714"/>
        <w:jc w:val="both"/>
        <w:rPr>
          <w:b/>
          <w:bCs/>
          <w:rtl/>
        </w:rPr>
      </w:pPr>
    </w:p>
    <w:p w:rsidR="00D63241" w:rsidRDefault="00D63241" w:rsidP="00D63241">
      <w:pPr>
        <w:spacing w:line="360" w:lineRule="auto"/>
        <w:ind w:left="714" w:hanging="714"/>
        <w:jc w:val="both"/>
        <w:rPr>
          <w:b/>
          <w:bCs/>
          <w:rtl/>
        </w:rPr>
      </w:pPr>
      <w:r>
        <w:rPr>
          <w:rtl/>
        </w:rPr>
        <w:tab/>
        <w:t xml:space="preserve">משכך, בקשתו של הנתבע לחייב את התובעת במחצית שווי הרכב על פי שוויו במועד החתימה על זכרון הדברים נדחית. </w:t>
      </w:r>
    </w:p>
    <w:p w:rsidR="00D63241" w:rsidRDefault="00D63241" w:rsidP="00D63241">
      <w:pPr>
        <w:spacing w:line="360" w:lineRule="auto"/>
        <w:ind w:left="714" w:hanging="714"/>
        <w:jc w:val="both"/>
        <w:rPr>
          <w:b/>
          <w:bCs/>
          <w:rtl/>
        </w:rPr>
      </w:pPr>
    </w:p>
    <w:p w:rsidR="00D63241" w:rsidRDefault="00D63241" w:rsidP="00D63241">
      <w:pPr>
        <w:spacing w:line="360" w:lineRule="auto"/>
        <w:ind w:left="720"/>
        <w:jc w:val="both"/>
        <w:rPr>
          <w:rtl/>
        </w:rPr>
      </w:pPr>
      <w:r>
        <w:rPr>
          <w:rtl/>
        </w:rPr>
        <w:t xml:space="preserve">לאור האמור,  התובעת תשלם לנתבע את חלקו (50%) משווי רכב הטויוטה על פי ערכו לפי מחירון לוי יצחק במועד קבלת התשלום הראשון מתמורת מכר הבית. </w:t>
      </w:r>
    </w:p>
    <w:p w:rsidR="00D63241" w:rsidRDefault="00D63241" w:rsidP="00D63241">
      <w:pPr>
        <w:spacing w:line="360" w:lineRule="auto"/>
        <w:ind w:left="720"/>
        <w:jc w:val="both"/>
        <w:rPr>
          <w:rtl/>
        </w:rPr>
      </w:pPr>
    </w:p>
    <w:p w:rsidR="00D63241" w:rsidRDefault="00D63241" w:rsidP="00D63241">
      <w:pPr>
        <w:spacing w:line="360" w:lineRule="auto"/>
        <w:ind w:left="720"/>
        <w:jc w:val="both"/>
        <w:rPr>
          <w:rtl/>
        </w:rPr>
      </w:pPr>
      <w:r>
        <w:rPr>
          <w:b/>
          <w:bCs/>
          <w:u w:val="single"/>
          <w:rtl/>
        </w:rPr>
        <w:t>איזון כספי</w:t>
      </w:r>
      <w:r>
        <w:rPr>
          <w:rtl/>
        </w:rPr>
        <w:t>:</w:t>
      </w:r>
    </w:p>
    <w:p w:rsidR="00D63241" w:rsidRDefault="00D63241" w:rsidP="00D63241">
      <w:pPr>
        <w:spacing w:line="360" w:lineRule="auto"/>
        <w:jc w:val="both"/>
        <w:rPr>
          <w:b/>
          <w:bCs/>
          <w:u w:val="single"/>
          <w:rtl/>
        </w:rPr>
      </w:pPr>
    </w:p>
    <w:p w:rsidR="00D63241" w:rsidRDefault="00D63241" w:rsidP="00D63241">
      <w:pPr>
        <w:spacing w:line="360" w:lineRule="auto"/>
        <w:ind w:left="720" w:hanging="720"/>
        <w:jc w:val="both"/>
        <w:rPr>
          <w:rtl/>
        </w:rPr>
      </w:pPr>
      <w:r>
        <w:rPr>
          <w:rtl/>
        </w:rPr>
        <w:t xml:space="preserve">14. </w:t>
      </w:r>
      <w:r>
        <w:rPr>
          <w:rtl/>
        </w:rPr>
        <w:tab/>
        <w:t>לאחר קבלת חוות דעת האקטואר הראשונה, ניתנה לצדדים הזדמנות להגיש שאלות הבהרה למומחה. בנוסף, בהחלטה מאוחרת, ניתנה לצדדים אפשרות נוספת לשלוח שאלות הבהרה.</w:t>
      </w:r>
    </w:p>
    <w:p w:rsidR="00D63241" w:rsidRDefault="00D63241" w:rsidP="00D63241">
      <w:pPr>
        <w:spacing w:line="360" w:lineRule="auto"/>
        <w:ind w:left="720" w:hanging="720"/>
        <w:jc w:val="both"/>
        <w:rPr>
          <w:rtl/>
        </w:rPr>
      </w:pPr>
    </w:p>
    <w:p w:rsidR="00D63241" w:rsidRDefault="00D63241" w:rsidP="00D63241">
      <w:pPr>
        <w:spacing w:line="360" w:lineRule="auto"/>
        <w:ind w:left="720" w:hanging="720"/>
        <w:jc w:val="both"/>
        <w:rPr>
          <w:rtl/>
        </w:rPr>
      </w:pPr>
      <w:r>
        <w:rPr>
          <w:rtl/>
        </w:rPr>
        <w:tab/>
        <w:t xml:space="preserve">לאחר מענה המומחה לשאלות ההבהרה, ומתן חוות הדעת המעדכנת לא הגישו הצדדים השגות  ביחס אליה (מלבד נושא הרכבים אשר הוכרע כעת). הנתבע תקף אמנם את עצם הגשת שאלות ההבהרה וסיכומיה של התובעת, אך לא טען כנגד חוות הדעת לגופה. </w:t>
      </w:r>
    </w:p>
    <w:p w:rsidR="00D63241" w:rsidRDefault="00D63241" w:rsidP="00D63241">
      <w:pPr>
        <w:spacing w:line="360" w:lineRule="auto"/>
        <w:ind w:left="720" w:hanging="720"/>
        <w:jc w:val="both"/>
        <w:rPr>
          <w:rtl/>
        </w:rPr>
      </w:pPr>
      <w:r>
        <w:rPr>
          <w:rtl/>
        </w:rPr>
        <w:tab/>
      </w:r>
    </w:p>
    <w:p w:rsidR="00D63241" w:rsidRDefault="00D63241" w:rsidP="00D63241">
      <w:pPr>
        <w:spacing w:line="360" w:lineRule="auto"/>
        <w:ind w:left="720"/>
        <w:jc w:val="both"/>
        <w:rPr>
          <w:rtl/>
        </w:rPr>
      </w:pPr>
      <w:r>
        <w:rPr>
          <w:rtl/>
        </w:rPr>
        <w:t xml:space="preserve">איש מהצדדים לא ביקש לזמן את המומחה לחקירה. </w:t>
      </w:r>
    </w:p>
    <w:p w:rsidR="00D63241" w:rsidRDefault="00D63241" w:rsidP="00D63241">
      <w:pPr>
        <w:spacing w:line="360" w:lineRule="auto"/>
        <w:ind w:left="720" w:hanging="720"/>
        <w:jc w:val="both"/>
        <w:rPr>
          <w:rtl/>
        </w:rPr>
      </w:pPr>
    </w:p>
    <w:p w:rsidR="00D63241" w:rsidRDefault="00D63241" w:rsidP="00D63241">
      <w:pPr>
        <w:spacing w:line="360" w:lineRule="auto"/>
        <w:ind w:left="720" w:hanging="720"/>
        <w:jc w:val="both"/>
        <w:rPr>
          <w:rtl/>
        </w:rPr>
      </w:pPr>
      <w:r>
        <w:rPr>
          <w:rtl/>
        </w:rPr>
        <w:tab/>
        <w:t>לעניין חוות דעת נקבע שבית המשפט לא יסטה מחוות דעת מומחה בהיעדר נימוקים כבדי משקל (</w:t>
      </w:r>
      <w:r>
        <w:rPr>
          <w:u w:val="single"/>
          <w:rtl/>
        </w:rPr>
        <w:t xml:space="preserve">ע"א 3056/99 </w:t>
      </w:r>
      <w:r>
        <w:rPr>
          <w:b/>
          <w:bCs/>
          <w:rtl/>
        </w:rPr>
        <w:t xml:space="preserve">שטרן </w:t>
      </w:r>
      <w:r>
        <w:rPr>
          <w:rtl/>
        </w:rPr>
        <w:t xml:space="preserve">נ' </w:t>
      </w:r>
      <w:r>
        <w:rPr>
          <w:b/>
          <w:bCs/>
          <w:rtl/>
        </w:rPr>
        <w:t>המרכז הרפואי על שם חיים</w:t>
      </w:r>
      <w:r>
        <w:rPr>
          <w:rtl/>
        </w:rPr>
        <w:t xml:space="preserve"> </w:t>
      </w:r>
      <w:r>
        <w:rPr>
          <w:b/>
          <w:bCs/>
          <w:rtl/>
        </w:rPr>
        <w:t>שיבא</w:t>
      </w:r>
      <w:r>
        <w:rPr>
          <w:rtl/>
        </w:rPr>
        <w:t xml:space="preserve"> פ"ד נ"ו (2) 936)).</w:t>
      </w:r>
    </w:p>
    <w:p w:rsidR="00D63241" w:rsidRDefault="00D63241" w:rsidP="00D63241">
      <w:pPr>
        <w:spacing w:line="360" w:lineRule="auto"/>
        <w:ind w:left="720" w:hanging="720"/>
        <w:jc w:val="both"/>
        <w:rPr>
          <w:rtl/>
        </w:rPr>
      </w:pPr>
    </w:p>
    <w:p w:rsidR="00D63241" w:rsidRDefault="00D63241" w:rsidP="00D63241">
      <w:pPr>
        <w:spacing w:line="360" w:lineRule="auto"/>
        <w:ind w:left="720"/>
        <w:jc w:val="both"/>
        <w:rPr>
          <w:rtl/>
        </w:rPr>
      </w:pPr>
      <w:r>
        <w:rPr>
          <w:rtl/>
        </w:rPr>
        <w:t xml:space="preserve"> הדברים מקל וחומר שעה שמומחה אינו מוזמן לחקירה על חוות דעתו (</w:t>
      </w:r>
      <w:r>
        <w:rPr>
          <w:u w:val="single"/>
          <w:rtl/>
        </w:rPr>
        <w:t>ת.א (מחוזי ת"א)</w:t>
      </w:r>
      <w:r>
        <w:rPr>
          <w:rtl/>
        </w:rPr>
        <w:t xml:space="preserve">  </w:t>
      </w:r>
      <w:r>
        <w:rPr>
          <w:b/>
          <w:bCs/>
          <w:rtl/>
        </w:rPr>
        <w:t xml:space="preserve">מאסי </w:t>
      </w:r>
      <w:r>
        <w:rPr>
          <w:rtl/>
        </w:rPr>
        <w:t>נ'</w:t>
      </w:r>
      <w:r>
        <w:rPr>
          <w:b/>
          <w:bCs/>
          <w:rtl/>
        </w:rPr>
        <w:t xml:space="preserve"> בנק דיסקונט לישראל בע"מ</w:t>
      </w:r>
      <w:r>
        <w:rPr>
          <w:rtl/>
        </w:rPr>
        <w:t xml:space="preserve"> (2.10.2005); </w:t>
      </w:r>
      <w:r>
        <w:rPr>
          <w:u w:val="single"/>
          <w:rtl/>
        </w:rPr>
        <w:t>ע"א  293/88</w:t>
      </w:r>
      <w:r>
        <w:rPr>
          <w:rtl/>
        </w:rPr>
        <w:t xml:space="preserve"> </w:t>
      </w:r>
      <w:r>
        <w:rPr>
          <w:b/>
          <w:bCs/>
          <w:rtl/>
        </w:rPr>
        <w:t>חברת יצחק נימן להשכרה בע"מ</w:t>
      </w:r>
      <w:r>
        <w:rPr>
          <w:rtl/>
        </w:rPr>
        <w:t xml:space="preserve"> נ'</w:t>
      </w:r>
      <w:r>
        <w:rPr>
          <w:b/>
          <w:bCs/>
          <w:rtl/>
        </w:rPr>
        <w:t xml:space="preserve"> רבי ואח'</w:t>
      </w:r>
      <w:r>
        <w:rPr>
          <w:rtl/>
        </w:rPr>
        <w:t xml:space="preserve"> (31/12/1988); </w:t>
      </w:r>
      <w:r>
        <w:rPr>
          <w:u w:val="single"/>
          <w:rtl/>
        </w:rPr>
        <w:t>ת"ע (ת"א) 33028-12-12</w:t>
      </w:r>
      <w:r>
        <w:rPr>
          <w:rtl/>
        </w:rPr>
        <w:t xml:space="preserve"> </w:t>
      </w:r>
      <w:r>
        <w:rPr>
          <w:b/>
          <w:bCs/>
          <w:rtl/>
        </w:rPr>
        <w:t xml:space="preserve">עזבון המנוח ו.ק. ז"ל </w:t>
      </w:r>
      <w:r>
        <w:rPr>
          <w:rtl/>
        </w:rPr>
        <w:t>נ'</w:t>
      </w:r>
      <w:r>
        <w:rPr>
          <w:b/>
          <w:bCs/>
          <w:rtl/>
        </w:rPr>
        <w:t xml:space="preserve"> היועמ"ש</w:t>
      </w:r>
      <w:r>
        <w:rPr>
          <w:rtl/>
        </w:rPr>
        <w:t xml:space="preserve"> (29.1.2014); </w:t>
      </w:r>
      <w:r>
        <w:rPr>
          <w:u w:val="single"/>
          <w:rtl/>
        </w:rPr>
        <w:t>תמ"ש (קריות) 1326/01</w:t>
      </w:r>
      <w:r>
        <w:rPr>
          <w:rtl/>
        </w:rPr>
        <w:t xml:space="preserve"> </w:t>
      </w:r>
      <w:r>
        <w:rPr>
          <w:b/>
          <w:bCs/>
          <w:rtl/>
        </w:rPr>
        <w:t xml:space="preserve">פלונית </w:t>
      </w:r>
      <w:r>
        <w:rPr>
          <w:rtl/>
        </w:rPr>
        <w:t>נ'</w:t>
      </w:r>
      <w:r>
        <w:rPr>
          <w:b/>
          <w:bCs/>
          <w:rtl/>
        </w:rPr>
        <w:t xml:space="preserve"> פלוני </w:t>
      </w:r>
      <w:r>
        <w:rPr>
          <w:rtl/>
        </w:rPr>
        <w:t xml:space="preserve"> 16.6.2009)).</w:t>
      </w:r>
    </w:p>
    <w:p w:rsidR="00D63241" w:rsidRDefault="00D63241" w:rsidP="00D63241">
      <w:pPr>
        <w:spacing w:line="360" w:lineRule="auto"/>
        <w:ind w:left="720" w:hanging="720"/>
        <w:jc w:val="both"/>
        <w:rPr>
          <w:rtl/>
        </w:rPr>
      </w:pPr>
      <w:r>
        <w:rPr>
          <w:rtl/>
        </w:rPr>
        <w:tab/>
      </w:r>
    </w:p>
    <w:p w:rsidR="00D63241" w:rsidRDefault="00D63241" w:rsidP="00D63241">
      <w:pPr>
        <w:spacing w:line="360" w:lineRule="auto"/>
        <w:ind w:left="720" w:hanging="720"/>
        <w:jc w:val="both"/>
        <w:rPr>
          <w:rtl/>
        </w:rPr>
      </w:pPr>
      <w:r>
        <w:rPr>
          <w:rtl/>
        </w:rPr>
        <w:tab/>
        <w:t xml:space="preserve">לאור האמור, אני מאמץ את חלופה א' לחוות הדעת המעדכנת.  </w:t>
      </w:r>
    </w:p>
    <w:p w:rsidR="00D63241" w:rsidRDefault="00D63241" w:rsidP="00D63241">
      <w:pPr>
        <w:spacing w:line="360" w:lineRule="auto"/>
        <w:ind w:left="720" w:hanging="720"/>
        <w:jc w:val="both"/>
        <w:rPr>
          <w:rtl/>
        </w:rPr>
      </w:pPr>
    </w:p>
    <w:p w:rsidR="00D63241" w:rsidRDefault="00D63241" w:rsidP="00D63241">
      <w:pPr>
        <w:spacing w:line="360" w:lineRule="auto"/>
        <w:ind w:left="720" w:hanging="720"/>
        <w:jc w:val="both"/>
        <w:rPr>
          <w:rtl/>
        </w:rPr>
      </w:pPr>
    </w:p>
    <w:p w:rsidR="00D63241" w:rsidRDefault="00D63241" w:rsidP="00D63241">
      <w:pPr>
        <w:spacing w:line="360" w:lineRule="auto"/>
        <w:ind w:left="720" w:hanging="720"/>
        <w:jc w:val="both"/>
        <w:rPr>
          <w:rtl/>
        </w:rPr>
      </w:pPr>
    </w:p>
    <w:p w:rsidR="00D63241" w:rsidRDefault="00D63241" w:rsidP="00D63241">
      <w:pPr>
        <w:spacing w:line="360" w:lineRule="auto"/>
        <w:ind w:left="720" w:hanging="720"/>
        <w:jc w:val="both"/>
        <w:rPr>
          <w:rtl/>
        </w:rPr>
      </w:pPr>
      <w:r>
        <w:rPr>
          <w:rtl/>
        </w:rPr>
        <w:tab/>
      </w:r>
      <w:r>
        <w:rPr>
          <w:b/>
          <w:bCs/>
          <w:u w:val="single"/>
          <w:rtl/>
        </w:rPr>
        <w:t>תכשיטים</w:t>
      </w:r>
      <w:r>
        <w:rPr>
          <w:rtl/>
        </w:rPr>
        <w:t xml:space="preserve">:  </w:t>
      </w:r>
    </w:p>
    <w:p w:rsidR="00D63241" w:rsidRDefault="00D63241" w:rsidP="00D63241">
      <w:pPr>
        <w:spacing w:line="360" w:lineRule="auto"/>
        <w:ind w:left="720" w:hanging="720"/>
        <w:jc w:val="both"/>
        <w:rPr>
          <w:b/>
          <w:bCs/>
          <w:u w:val="single"/>
          <w:rtl/>
        </w:rPr>
      </w:pPr>
      <w:r>
        <w:rPr>
          <w:rtl/>
        </w:rPr>
        <w:lastRenderedPageBreak/>
        <w:tab/>
      </w:r>
    </w:p>
    <w:p w:rsidR="00D63241" w:rsidRDefault="00D63241" w:rsidP="00D63241">
      <w:pPr>
        <w:spacing w:line="360" w:lineRule="auto"/>
        <w:ind w:left="720" w:hanging="720"/>
        <w:jc w:val="both"/>
        <w:rPr>
          <w:rtl/>
        </w:rPr>
      </w:pPr>
      <w:r>
        <w:rPr>
          <w:rtl/>
        </w:rPr>
        <w:t>15.</w:t>
      </w:r>
      <w:r>
        <w:rPr>
          <w:rtl/>
        </w:rPr>
        <w:tab/>
        <w:t xml:space="preserve">התובעת טוענת כי הנתבע מחזיק בתכשיטיה. אין לפני כל ראיה לכך. יתרה מכך אין לפני ראיה לקיומם של תכשיטים, פירוט באיזה תכשיטים מדובר, שוויים, מקום הימצאם לכאורה. הנתבע הכחיש את המיוחס לו בעניין התכשיטים וטען שאינו מחזיק באף תכשיט השייך לתובעת. </w:t>
      </w:r>
    </w:p>
    <w:p w:rsidR="00D63241" w:rsidRDefault="00D63241" w:rsidP="00D63241">
      <w:pPr>
        <w:spacing w:line="360" w:lineRule="auto"/>
        <w:ind w:left="720" w:hanging="720"/>
        <w:jc w:val="both"/>
        <w:rPr>
          <w:rtl/>
        </w:rPr>
      </w:pPr>
    </w:p>
    <w:p w:rsidR="00D63241" w:rsidRDefault="00D63241" w:rsidP="00D63241">
      <w:pPr>
        <w:spacing w:line="360" w:lineRule="auto"/>
        <w:ind w:left="720" w:hanging="720"/>
        <w:jc w:val="both"/>
        <w:rPr>
          <w:rtl/>
        </w:rPr>
      </w:pPr>
      <w:r>
        <w:rPr>
          <w:rtl/>
        </w:rPr>
        <w:tab/>
        <w:t xml:space="preserve">משכך בנתונים אלו אין אפשרות לקבוע שיפוטית דבר וחצי דבר עם טענה זו של התובעת. בנסיבות אלו תביעתה בעניין זה נמחקת. ברם, ככל ולתובעת יהיו הוכחות מוצקות בעניין מקום הימצאם או החזקתם תהא רשאית להגיש תובענה חדשה בעניין זה. </w:t>
      </w:r>
    </w:p>
    <w:p w:rsidR="00D63241" w:rsidRDefault="00D63241" w:rsidP="00D63241">
      <w:pPr>
        <w:spacing w:line="360" w:lineRule="auto"/>
        <w:jc w:val="both"/>
        <w:rPr>
          <w:rtl/>
        </w:rPr>
      </w:pPr>
    </w:p>
    <w:p w:rsidR="00D63241" w:rsidRDefault="00D63241" w:rsidP="00D63241">
      <w:pPr>
        <w:spacing w:line="360" w:lineRule="auto"/>
        <w:jc w:val="both"/>
        <w:rPr>
          <w:rFonts w:ascii="David" w:hAnsi="David"/>
          <w:sz w:val="28"/>
          <w:szCs w:val="28"/>
          <w:rtl/>
        </w:rPr>
      </w:pPr>
      <w:r>
        <w:rPr>
          <w:rFonts w:ascii="David" w:hAnsi="David"/>
          <w:b/>
          <w:bCs/>
          <w:sz w:val="28"/>
          <w:szCs w:val="28"/>
          <w:u w:val="single"/>
          <w:rtl/>
        </w:rPr>
        <w:t>אחרית דבר</w:t>
      </w:r>
      <w:r>
        <w:rPr>
          <w:rFonts w:ascii="David" w:hAnsi="David"/>
          <w:sz w:val="28"/>
          <w:szCs w:val="28"/>
          <w:rtl/>
        </w:rPr>
        <w:t>:</w:t>
      </w:r>
    </w:p>
    <w:p w:rsidR="00D63241" w:rsidRDefault="00D63241" w:rsidP="00D63241">
      <w:pPr>
        <w:spacing w:line="360" w:lineRule="auto"/>
        <w:jc w:val="both"/>
        <w:rPr>
          <w:rFonts w:ascii="David" w:hAnsi="David"/>
          <w:sz w:val="28"/>
          <w:szCs w:val="28"/>
          <w:rtl/>
        </w:rPr>
      </w:pPr>
    </w:p>
    <w:p w:rsidR="00D63241" w:rsidRDefault="00D63241" w:rsidP="00D63241">
      <w:pPr>
        <w:spacing w:line="360" w:lineRule="auto"/>
        <w:ind w:left="793" w:hanging="709"/>
        <w:jc w:val="both"/>
        <w:rPr>
          <w:rFonts w:ascii="David" w:hAnsi="David"/>
          <w:rtl/>
        </w:rPr>
      </w:pPr>
      <w:r>
        <w:rPr>
          <w:rFonts w:ascii="David" w:hAnsi="David"/>
          <w:rtl/>
        </w:rPr>
        <w:t>16.</w:t>
      </w:r>
      <w:r>
        <w:rPr>
          <w:rFonts w:ascii="David" w:hAnsi="David"/>
          <w:rtl/>
        </w:rPr>
        <w:tab/>
        <w:t>כללו של דבר אני מאמץ את חלופה א' של  חוות הדעת המעדכנת.</w:t>
      </w:r>
    </w:p>
    <w:p w:rsidR="00D63241" w:rsidRDefault="00D63241" w:rsidP="00D63241">
      <w:pPr>
        <w:spacing w:line="360" w:lineRule="auto"/>
        <w:ind w:left="793" w:hanging="709"/>
        <w:jc w:val="both"/>
        <w:rPr>
          <w:rFonts w:ascii="David" w:hAnsi="David"/>
          <w:rtl/>
        </w:rPr>
      </w:pPr>
    </w:p>
    <w:p w:rsidR="00D63241" w:rsidRDefault="00D63241" w:rsidP="00D63241">
      <w:pPr>
        <w:spacing w:line="360" w:lineRule="auto"/>
        <w:ind w:left="793" w:hanging="709"/>
        <w:jc w:val="both"/>
        <w:rPr>
          <w:rFonts w:ascii="David" w:hAnsi="David"/>
          <w:rtl/>
        </w:rPr>
      </w:pPr>
      <w:r>
        <w:rPr>
          <w:rFonts w:ascii="David" w:hAnsi="David"/>
          <w:rtl/>
        </w:rPr>
        <w:t>17.</w:t>
      </w:r>
      <w:r>
        <w:rPr>
          <w:rFonts w:ascii="David" w:hAnsi="David"/>
          <w:rtl/>
        </w:rPr>
        <w:tab/>
        <w:t>בזאת תם הטיפול בתביעה.</w:t>
      </w:r>
    </w:p>
    <w:p w:rsidR="00D63241" w:rsidRDefault="00D63241" w:rsidP="00D63241">
      <w:pPr>
        <w:spacing w:line="360" w:lineRule="auto"/>
        <w:ind w:left="793" w:hanging="709"/>
        <w:jc w:val="both"/>
        <w:rPr>
          <w:rFonts w:ascii="David" w:hAnsi="David"/>
          <w:rtl/>
        </w:rPr>
      </w:pPr>
    </w:p>
    <w:p w:rsidR="00D63241" w:rsidRDefault="00D63241" w:rsidP="00D63241">
      <w:pPr>
        <w:spacing w:line="360" w:lineRule="auto"/>
        <w:ind w:left="793" w:hanging="709"/>
        <w:jc w:val="both"/>
        <w:rPr>
          <w:rFonts w:ascii="David" w:hAnsi="David"/>
          <w:rtl/>
        </w:rPr>
      </w:pPr>
      <w:r>
        <w:rPr>
          <w:rFonts w:ascii="David" w:hAnsi="David"/>
          <w:rtl/>
        </w:rPr>
        <w:t>18.</w:t>
      </w:r>
      <w:r>
        <w:rPr>
          <w:rFonts w:ascii="David" w:hAnsi="David"/>
          <w:rtl/>
        </w:rPr>
        <w:tab/>
        <w:t xml:space="preserve">לאור התוצאה אליה הגעתי ובשים לב לניתוח הדברים בגוף פסק דין זה, הגם שניתן היה להגיע להסכמות על פי המתווה שהתקבל בפסק הדין שניתן בהסכמה בבית המשפט המחוזי וחוות הדעת המעדכנת שעלתה בקנה אחד עם ההסכמות בפסק הדין האמור הנתבע ישלם לתובעת הוצאות משפט בסך  5,000 ₪. </w:t>
      </w:r>
    </w:p>
    <w:p w:rsidR="00D63241" w:rsidRDefault="00D63241" w:rsidP="00D63241">
      <w:pPr>
        <w:spacing w:line="360" w:lineRule="auto"/>
        <w:jc w:val="both"/>
        <w:rPr>
          <w:rFonts w:ascii="David" w:hAnsi="David"/>
          <w:rtl/>
        </w:rPr>
      </w:pPr>
    </w:p>
    <w:p w:rsidR="00D63241" w:rsidRDefault="00D63241" w:rsidP="00D63241">
      <w:pPr>
        <w:spacing w:line="360" w:lineRule="auto"/>
        <w:ind w:left="793" w:hanging="709"/>
        <w:jc w:val="both"/>
        <w:rPr>
          <w:rFonts w:ascii="David" w:hAnsi="David"/>
        </w:rPr>
      </w:pPr>
      <w:r>
        <w:rPr>
          <w:rFonts w:ascii="David" w:hAnsi="David"/>
          <w:rtl/>
        </w:rPr>
        <w:t>19.</w:t>
      </w:r>
      <w:r>
        <w:rPr>
          <w:rFonts w:ascii="David" w:hAnsi="David"/>
          <w:rtl/>
        </w:rPr>
        <w:tab/>
        <w:t>מתיר פרסום פסק הדין בהסתרת פרטים מזהים.</w:t>
      </w:r>
    </w:p>
    <w:p w:rsidR="00D63241" w:rsidRDefault="00D63241" w:rsidP="00D63241">
      <w:pPr>
        <w:spacing w:line="360" w:lineRule="auto"/>
        <w:ind w:left="793" w:hanging="709"/>
        <w:jc w:val="both"/>
        <w:rPr>
          <w:rFonts w:ascii="David" w:hAnsi="David"/>
          <w:rtl/>
        </w:rPr>
      </w:pPr>
    </w:p>
    <w:p w:rsidR="00D63241" w:rsidRDefault="00D63241" w:rsidP="00D63241">
      <w:pPr>
        <w:spacing w:line="360" w:lineRule="auto"/>
        <w:ind w:left="793" w:hanging="709"/>
        <w:jc w:val="both"/>
        <w:rPr>
          <w:rFonts w:ascii="David" w:hAnsi="David"/>
          <w:rtl/>
        </w:rPr>
      </w:pPr>
      <w:r>
        <w:rPr>
          <w:rFonts w:ascii="David" w:hAnsi="David"/>
          <w:rtl/>
        </w:rPr>
        <w:t>20.</w:t>
      </w:r>
      <w:r>
        <w:rPr>
          <w:rFonts w:ascii="David" w:hAnsi="David"/>
          <w:rtl/>
        </w:rPr>
        <w:tab/>
        <w:t>תואיל המזכירות לשלוח את פסק הדין לצדדים ולסגור את התיק.</w:t>
      </w:r>
    </w:p>
    <w:p w:rsidR="00D63241" w:rsidRDefault="00D63241" w:rsidP="00D63241">
      <w:pPr>
        <w:spacing w:line="360" w:lineRule="auto"/>
        <w:ind w:left="793" w:hanging="709"/>
        <w:jc w:val="both"/>
        <w:rPr>
          <w:rFonts w:ascii="David" w:hAnsi="David"/>
          <w:rtl/>
        </w:rPr>
      </w:pPr>
    </w:p>
    <w:p w:rsidR="00D63241" w:rsidRDefault="00D63241" w:rsidP="00D6324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אוגוסט 2024</w:t>
          </w:r>
        </w:sdtContent>
      </w:sdt>
      <w:r>
        <w:rPr>
          <w:rFonts w:ascii="Arial" w:hAnsi="Arial"/>
          <w:noProof w:val="0"/>
          <w:rtl/>
        </w:rPr>
        <w:t>, בהעדר הצדדים.</w:t>
      </w:r>
    </w:p>
    <w:p w:rsidR="00D63241" w:rsidRDefault="00D63241" w:rsidP="00D63241">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22DC67A5831649B0B28E09C1AB657FCF"/>
          </w:placeholder>
          <w:showingPlcHdr/>
          <w:text w:multiLine="1"/>
        </w:sdtPr>
        <w:sdtEndPr/>
        <w:sdtContent/>
      </w:sdt>
      <w:r>
        <w:rPr>
          <w:rFonts w:ascii="Arial" w:hAnsi="Arial"/>
          <w:noProof w:val="0"/>
          <w:rtl/>
        </w:rPr>
        <w:tab/>
      </w:r>
      <w:r>
        <w:rPr>
          <w:rFonts w:ascii="Arial" w:hAnsi="Arial"/>
          <w:noProof w:val="0"/>
          <w:rtl/>
        </w:rPr>
        <w:tab/>
        <w:t xml:space="preserve"> </w:t>
      </w:r>
    </w:p>
    <w:p w:rsidR="00D63241" w:rsidRDefault="00474B2E" w:rsidP="00D63241">
      <w:pPr>
        <w:spacing w:line="360" w:lineRule="auto"/>
        <w:ind w:left="3600" w:firstLine="720"/>
        <w:rPr>
          <w:rtl/>
        </w:rPr>
      </w:pPr>
      <w:sdt>
        <w:sdtPr>
          <w:rPr>
            <w:rtl/>
          </w:rPr>
          <w:alias w:val="MergeField"/>
          <w:tag w:val="1237"/>
          <w:id w:val="-843010969"/>
        </w:sdtPr>
        <w:sdtEndPr/>
        <w:sdtContent>
          <w:r w:rsidR="00D63241">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D63241" w:rsidRDefault="00D63241" w:rsidP="00D63241">
      <w:pPr>
        <w:spacing w:line="360" w:lineRule="auto"/>
        <w:ind w:left="3600" w:firstLine="720"/>
        <w:rPr>
          <w:rFonts w:ascii="Arial" w:hAnsi="Arial"/>
          <w:noProof w:val="0"/>
        </w:rPr>
      </w:pPr>
    </w:p>
    <w:p w:rsidR="00D63241" w:rsidRDefault="00D63241" w:rsidP="00D63241">
      <w:pPr>
        <w:spacing w:line="360" w:lineRule="auto"/>
        <w:jc w:val="both"/>
        <w:rPr>
          <w:rFonts w:ascii="Arial" w:hAnsi="Arial"/>
          <w:noProof w:val="0"/>
          <w:rtl/>
        </w:rPr>
      </w:pPr>
    </w:p>
    <w:p w:rsidR="00D63241" w:rsidRDefault="00D63241" w:rsidP="00D63241">
      <w:pPr>
        <w:spacing w:line="360" w:lineRule="auto"/>
        <w:jc w:val="both"/>
        <w:rPr>
          <w:rFonts w:ascii="Arial" w:hAnsi="Arial"/>
          <w:noProof w:val="0"/>
          <w:rtl/>
        </w:rPr>
      </w:pPr>
    </w:p>
    <w:p w:rsidR="00D63241" w:rsidRDefault="00D63241" w:rsidP="00D63241"/>
    <w:sectPr w:rsidR="00D63241"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241"/>
    <w:rsid w:val="00355678"/>
    <w:rsid w:val="00474B2E"/>
    <w:rsid w:val="00512360"/>
    <w:rsid w:val="00575A7B"/>
    <w:rsid w:val="00C11DC6"/>
    <w:rsid w:val="00D63241"/>
    <w:rsid w:val="00F3196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52B71A-AD66-4D80-AE55-1CD85259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241"/>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D63241"/>
    <w:pPr>
      <w:tabs>
        <w:tab w:val="center" w:pos="4153"/>
        <w:tab w:val="right" w:pos="8306"/>
      </w:tabs>
    </w:pPr>
  </w:style>
  <w:style w:type="character" w:customStyle="1" w:styleId="a4">
    <w:name w:val="כותרת עליונה תו"/>
    <w:basedOn w:val="a0"/>
    <w:link w:val="a3"/>
    <w:semiHidden/>
    <w:rsid w:val="00D63241"/>
    <w:rPr>
      <w:rFonts w:ascii="Times New Roman" w:eastAsia="Times New Roman" w:hAnsi="Times New Roman" w:cs="David"/>
      <w:noProof/>
      <w:sz w:val="24"/>
      <w:szCs w:val="24"/>
    </w:rPr>
  </w:style>
  <w:style w:type="paragraph" w:styleId="NormalWeb">
    <w:name w:val="Normal (Web)"/>
    <w:basedOn w:val="a"/>
    <w:uiPriority w:val="99"/>
    <w:semiHidden/>
    <w:unhideWhenUsed/>
    <w:rsid w:val="00D63241"/>
    <w:pPr>
      <w:bidi w:val="0"/>
      <w:spacing w:before="100" w:beforeAutospacing="1" w:after="100" w:afterAutospacing="1"/>
    </w:pPr>
    <w:rPr>
      <w:rFonts w:eastAsiaTheme="minorEastAsia" w:cs="Times New Roman"/>
      <w:noProof w:val="0"/>
    </w:rPr>
  </w:style>
  <w:style w:type="paragraph" w:styleId="a5">
    <w:name w:val="List Paragraph"/>
    <w:basedOn w:val="a"/>
    <w:qFormat/>
    <w:rsid w:val="00D63241"/>
    <w:pPr>
      <w:spacing w:after="160" w:line="252"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D63241"/>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table" w:styleId="a6">
    <w:name w:val="Table Grid"/>
    <w:basedOn w:val="a1"/>
    <w:rsid w:val="00D63241"/>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535164">
      <w:bodyDiv w:val="1"/>
      <w:marLeft w:val="0"/>
      <w:marRight w:val="0"/>
      <w:marTop w:val="0"/>
      <w:marBottom w:val="0"/>
      <w:divBdr>
        <w:top w:val="none" w:sz="0" w:space="0" w:color="auto"/>
        <w:left w:val="none" w:sz="0" w:space="0" w:color="auto"/>
        <w:bottom w:val="none" w:sz="0" w:space="0" w:color="auto"/>
        <w:right w:val="none" w:sz="0" w:space="0" w:color="auto"/>
      </w:divBdr>
    </w:div>
    <w:div w:id="172814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2DC67A5831649B0B28E09C1AB657FCF"/>
        <w:category>
          <w:name w:val="כללי"/>
          <w:gallery w:val="placeholder"/>
        </w:category>
        <w:types>
          <w:type w:val="bbPlcHdr"/>
        </w:types>
        <w:behaviors>
          <w:behavior w:val="content"/>
        </w:behaviors>
        <w:guid w:val="{8E9ED509-57D9-4F6C-8EA7-9D9FD32F4C7D}"/>
      </w:docPartPr>
      <w:docPartBody>
        <w:p w:rsidR="00131E88" w:rsidRDefault="00801079" w:rsidP="00801079">
          <w:pPr>
            <w:pStyle w:val="22DC67A5831649B0B28E09C1AB657FCF"/>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079"/>
    <w:rsid w:val="00131E88"/>
    <w:rsid w:val="006B31F2"/>
    <w:rsid w:val="007134B1"/>
    <w:rsid w:val="00801079"/>
    <w:rsid w:val="00F2662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01079"/>
  </w:style>
  <w:style w:type="paragraph" w:customStyle="1" w:styleId="22DC67A5831649B0B28E09C1AB657FCF">
    <w:name w:val="22DC67A5831649B0B28E09C1AB657FCF"/>
    <w:rsid w:val="0080107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3042</Words>
  <Characters>15212</Characters>
  <Application>Microsoft Office Word</Application>
  <DocSecurity>0</DocSecurity>
  <Lines>126</Lines>
  <Paragraphs>36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2024-09-01T05:54:00Z</dcterms:created>
  <dcterms:modified xsi:type="dcterms:W3CDTF">2024-09-01T05:54:00Z</dcterms:modified>
</cp:coreProperties>
</file>